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1E5BB" w14:textId="77777777" w:rsidR="00476658" w:rsidRDefault="00000000">
      <w:pPr>
        <w:jc w:val="center"/>
      </w:pPr>
      <w:r>
        <w:rPr>
          <w:b/>
          <w:color w:val="2F6B3A"/>
          <w:sz w:val="44"/>
        </w:rPr>
        <w:t>FUTURE OF LINSLADE</w:t>
      </w:r>
      <w:r>
        <w:rPr>
          <w:b/>
          <w:color w:val="2F6B3A"/>
          <w:sz w:val="44"/>
        </w:rPr>
        <w:br/>
      </w:r>
      <w:r>
        <w:rPr>
          <w:b/>
        </w:rPr>
        <w:t>Resident Guide</w:t>
      </w:r>
      <w:r>
        <w:rPr>
          <w:b/>
        </w:rPr>
        <w:br/>
        <w:t>Leighton-Linslade Neighbourhood Plan – Regulation 16 Consultation</w:t>
      </w:r>
    </w:p>
    <w:p w14:paraId="73073D21" w14:textId="38429B11" w:rsidR="00476658" w:rsidRDefault="00000000">
      <w:r>
        <w:rPr>
          <w:color w:val="2F6B3A"/>
        </w:rPr>
        <w:t>______________________________________________________________________________</w:t>
      </w:r>
    </w:p>
    <w:p w14:paraId="77C1011D" w14:textId="77777777" w:rsidR="00476658" w:rsidRDefault="00000000" w:rsidP="00053CA3">
      <w:pPr>
        <w:jc w:val="center"/>
      </w:pPr>
      <w:r>
        <w:rPr>
          <w:b/>
          <w:color w:val="2F6B3A"/>
          <w:sz w:val="28"/>
        </w:rPr>
        <w:t>Can you spare 15 minutes to help shape Leighton-Linslade's future?</w:t>
      </w:r>
    </w:p>
    <w:p w14:paraId="4254A58E" w14:textId="77777777" w:rsidR="00476658" w:rsidRDefault="00000000" w:rsidP="00053CA3">
      <w:pPr>
        <w:jc w:val="center"/>
      </w:pPr>
      <w:r>
        <w:t>The Neighbourhood Plan will help guide planning decisions until 2042. This consultation is the last opportunity for residents to influence the Plan before it is independently examined.</w:t>
      </w:r>
    </w:p>
    <w:p w14:paraId="373978A8" w14:textId="77777777" w:rsidR="00053CA3" w:rsidRDefault="00053CA3" w:rsidP="00053CA3">
      <w:r>
        <w:rPr>
          <w:color w:val="2F6B3A"/>
        </w:rPr>
        <w:t>______________________________________________________________________________</w:t>
      </w:r>
    </w:p>
    <w:p w14:paraId="44600157" w14:textId="6E43A5BA" w:rsidR="00476658" w:rsidRDefault="00000000">
      <w:r>
        <w:rPr>
          <w:b/>
          <w:color w:val="2F6B3A"/>
          <w:sz w:val="28"/>
        </w:rPr>
        <w:t>The Vision</w:t>
      </w:r>
    </w:p>
    <w:p w14:paraId="32204EC2" w14:textId="77777777" w:rsidR="00476658" w:rsidRDefault="00000000">
      <w:r>
        <w:t>“A 21st century market town that thrives on the strength of its heritage, community, environment and entrepreneurs/creatives.”</w:t>
      </w:r>
    </w:p>
    <w:p w14:paraId="3B11AAB8" w14:textId="77777777" w:rsidR="00053CA3" w:rsidRDefault="00053CA3" w:rsidP="00053CA3">
      <w:r>
        <w:rPr>
          <w:color w:val="2F6B3A"/>
        </w:rPr>
        <w:t>______________________________________________________________________________</w:t>
      </w:r>
    </w:p>
    <w:p w14:paraId="1C7A2E63" w14:textId="77777777" w:rsidR="00476658" w:rsidRDefault="00000000">
      <w:r>
        <w:rPr>
          <w:b/>
          <w:color w:val="2F6B3A"/>
          <w:sz w:val="28"/>
        </w:rPr>
        <w:t>A strong Vision deserves strong policies</w:t>
      </w:r>
    </w:p>
    <w:p w14:paraId="16525180" w14:textId="77777777" w:rsidR="00476658" w:rsidRDefault="00000000">
      <w:r>
        <w:t>Our review found this is a well prepared, evidence-led Plan with many positive policies. We identified five opportunities where relatively small changes could strengthen the planning framework and help the Plan deliver its Vision.</w:t>
      </w:r>
    </w:p>
    <w:p w14:paraId="07382AD5" w14:textId="77777777" w:rsidR="00053CA3" w:rsidRDefault="00053CA3" w:rsidP="00053CA3">
      <w:r>
        <w:rPr>
          <w:color w:val="2F6B3A"/>
        </w:rPr>
        <w:t>______________________________________________________________________________</w:t>
      </w:r>
    </w:p>
    <w:p w14:paraId="6F0D648D" w14:textId="77777777" w:rsidR="00476658" w:rsidRDefault="00000000">
      <w:r>
        <w:rPr>
          <w:b/>
          <w:color w:val="2F6B3A"/>
          <w:sz w:val="28"/>
        </w:rPr>
        <w:t>Before you start</w:t>
      </w:r>
    </w:p>
    <w:p w14:paraId="6FD7793E" w14:textId="467B99E2" w:rsidR="00053CA3" w:rsidRDefault="00000000">
      <w:r>
        <w:t>This guide focuses on five areas we believe offer the greatest opportunity to strengthen the Plan. You are encouraged to comment on any aspect of the Neighbourhood Plan that matters to you, including Policies LL1–LL13.</w:t>
      </w:r>
      <w:r w:rsidR="00CA2887">
        <w:t xml:space="preserve"> You will find the five areas on the next page. Please remember these are not </w:t>
      </w:r>
      <w:proofErr w:type="gramStart"/>
      <w:r w:rsidR="00CA2887">
        <w:t>all of</w:t>
      </w:r>
      <w:proofErr w:type="gramEnd"/>
      <w:r w:rsidR="00CA2887">
        <w:t xml:space="preserve"> the policy areas – some are focused on heritage, the town </w:t>
      </w:r>
      <w:proofErr w:type="spellStart"/>
      <w:r w:rsidR="00CA2887">
        <w:t>centre</w:t>
      </w:r>
      <w:proofErr w:type="spellEnd"/>
      <w:r w:rsidR="00CA2887">
        <w:t xml:space="preserve"> etc. Our focus has been to identify the areas that are most likely to affect the character of Linslade although we believe our suggestions will benefit the whole town. </w:t>
      </w:r>
    </w:p>
    <w:p w14:paraId="44E1F46A" w14:textId="77777777" w:rsidR="00CA2887" w:rsidRDefault="00CA2887"/>
    <w:p w14:paraId="3260F71E" w14:textId="77777777" w:rsidR="00053CA3" w:rsidRDefault="00053CA3">
      <w:r>
        <w:br w:type="page"/>
      </w:r>
    </w:p>
    <w:p w14:paraId="4CF5067A" w14:textId="77777777" w:rsidR="00053CA3" w:rsidRDefault="00053CA3">
      <w:pPr>
        <w:sectPr w:rsidR="00053CA3" w:rsidSect="00053CA3">
          <w:pgSz w:w="12240" w:h="15840"/>
          <w:pgMar w:top="1440" w:right="1800" w:bottom="1440" w:left="1800" w:header="720" w:footer="720" w:gutter="0"/>
          <w:cols w:space="720"/>
          <w:docGrid w:linePitch="360"/>
        </w:sectPr>
      </w:pPr>
    </w:p>
    <w:tbl>
      <w:tblPr>
        <w:tblpPr w:leftFromText="180" w:rightFromText="180" w:vertAnchor="text" w:tblpX="-284" w:tblpY="1"/>
        <w:tblOverlap w:val="never"/>
        <w:tblW w:w="14176" w:type="dxa"/>
        <w:tblLook w:val="04A0" w:firstRow="1" w:lastRow="0" w:firstColumn="1" w:lastColumn="0" w:noHBand="0" w:noVBand="1"/>
      </w:tblPr>
      <w:tblGrid>
        <w:gridCol w:w="317"/>
        <w:gridCol w:w="1348"/>
        <w:gridCol w:w="1454"/>
        <w:gridCol w:w="2234"/>
        <w:gridCol w:w="3119"/>
        <w:gridCol w:w="2160"/>
        <w:gridCol w:w="3544"/>
      </w:tblGrid>
      <w:tr w:rsidR="00053CA3" w:rsidRPr="00053CA3" w14:paraId="443212F6" w14:textId="77777777" w:rsidTr="00053CA3">
        <w:trPr>
          <w:gridAfter w:val="6"/>
          <w:wAfter w:w="13859" w:type="dxa"/>
          <w:trHeight w:val="315"/>
        </w:trPr>
        <w:tc>
          <w:tcPr>
            <w:tcW w:w="317" w:type="dxa"/>
            <w:tcBorders>
              <w:top w:val="single" w:sz="4" w:space="0" w:color="000000"/>
              <w:left w:val="single" w:sz="4" w:space="0" w:color="000000"/>
              <w:bottom w:val="single" w:sz="4" w:space="0" w:color="000000"/>
              <w:right w:val="single" w:sz="4" w:space="0" w:color="000000"/>
            </w:tcBorders>
            <w:vAlign w:val="center"/>
            <w:hideMark/>
          </w:tcPr>
          <w:p w14:paraId="770C11D8" w14:textId="77777777" w:rsidR="00053CA3" w:rsidRPr="00053CA3" w:rsidRDefault="00053CA3" w:rsidP="00053CA3">
            <w:pPr>
              <w:spacing w:after="0" w:line="240" w:lineRule="auto"/>
              <w:jc w:val="center"/>
              <w:rPr>
                <w:rFonts w:ascii="Arial" w:eastAsia="Times New Roman" w:hAnsi="Arial" w:cs="Arial"/>
                <w:b/>
                <w:bCs/>
                <w:color w:val="000000"/>
                <w:lang w:val="en-GB" w:eastAsia="en-GB"/>
              </w:rPr>
            </w:pPr>
            <w:r w:rsidRPr="00053CA3">
              <w:rPr>
                <w:rFonts w:ascii="Arial" w:eastAsia="Times New Roman" w:hAnsi="Arial" w:cs="Arial"/>
                <w:b/>
                <w:bCs/>
                <w:color w:val="000000"/>
                <w:lang w:val="en-GB" w:eastAsia="en-GB"/>
              </w:rPr>
              <w:lastRenderedPageBreak/>
              <w:t> </w:t>
            </w:r>
          </w:p>
        </w:tc>
      </w:tr>
      <w:tr w:rsidR="00053CA3" w:rsidRPr="00053CA3" w14:paraId="02AEEF70" w14:textId="77777777" w:rsidTr="00CA2887">
        <w:trPr>
          <w:trHeight w:val="315"/>
        </w:trPr>
        <w:tc>
          <w:tcPr>
            <w:tcW w:w="317" w:type="dxa"/>
            <w:tcBorders>
              <w:top w:val="nil"/>
              <w:left w:val="single" w:sz="4" w:space="0" w:color="000000"/>
              <w:bottom w:val="single" w:sz="4" w:space="0" w:color="000000"/>
              <w:right w:val="single" w:sz="4" w:space="0" w:color="auto"/>
            </w:tcBorders>
            <w:vAlign w:val="center"/>
            <w:hideMark/>
          </w:tcPr>
          <w:p w14:paraId="500E446D" w14:textId="77777777" w:rsidR="00053CA3" w:rsidRPr="00053CA3" w:rsidRDefault="00053CA3" w:rsidP="00053CA3">
            <w:pPr>
              <w:spacing w:after="0" w:line="240" w:lineRule="auto"/>
              <w:jc w:val="center"/>
              <w:rPr>
                <w:rFonts w:ascii="Arial" w:eastAsia="Times New Roman" w:hAnsi="Arial" w:cs="Arial"/>
                <w:b/>
                <w:bCs/>
                <w:color w:val="000000"/>
                <w:lang w:val="en-GB" w:eastAsia="en-GB"/>
              </w:rPr>
            </w:pPr>
            <w:r w:rsidRPr="00053CA3">
              <w:rPr>
                <w:rFonts w:ascii="Arial" w:eastAsia="Times New Roman" w:hAnsi="Arial" w:cs="Arial"/>
                <w:b/>
                <w:bCs/>
                <w:color w:val="000000"/>
                <w:lang w:val="en-GB" w:eastAsia="en-GB"/>
              </w:rPr>
              <w:t> </w:t>
            </w:r>
          </w:p>
        </w:tc>
        <w:tc>
          <w:tcPr>
            <w:tcW w:w="1348" w:type="dxa"/>
            <w:tcBorders>
              <w:top w:val="single" w:sz="4" w:space="0" w:color="auto"/>
              <w:left w:val="single" w:sz="4" w:space="0" w:color="auto"/>
              <w:bottom w:val="single" w:sz="4" w:space="0" w:color="auto"/>
              <w:right w:val="single" w:sz="4" w:space="0" w:color="auto"/>
            </w:tcBorders>
            <w:vAlign w:val="center"/>
            <w:hideMark/>
          </w:tcPr>
          <w:p w14:paraId="4E63FA5D" w14:textId="77777777" w:rsidR="00053CA3" w:rsidRPr="00053CA3" w:rsidRDefault="00053CA3" w:rsidP="00053CA3">
            <w:pPr>
              <w:spacing w:after="0" w:line="240" w:lineRule="auto"/>
              <w:ind w:left="1"/>
              <w:jc w:val="center"/>
              <w:rPr>
                <w:rFonts w:ascii="Arial" w:eastAsia="Times New Roman" w:hAnsi="Arial" w:cs="Arial"/>
                <w:b/>
                <w:bCs/>
                <w:color w:val="000000"/>
                <w:sz w:val="20"/>
                <w:szCs w:val="20"/>
                <w:lang w:val="en-GB" w:eastAsia="en-GB"/>
              </w:rPr>
            </w:pPr>
            <w:r w:rsidRPr="00053CA3">
              <w:rPr>
                <w:rFonts w:ascii="Arial" w:eastAsia="Times New Roman" w:hAnsi="Arial" w:cs="Arial"/>
                <w:b/>
                <w:bCs/>
                <w:color w:val="000000"/>
                <w:sz w:val="20"/>
                <w:szCs w:val="20"/>
                <w:lang w:val="en-GB" w:eastAsia="en-GB"/>
              </w:rPr>
              <w:t>Strategic Principle</w:t>
            </w:r>
          </w:p>
        </w:tc>
        <w:tc>
          <w:tcPr>
            <w:tcW w:w="1454" w:type="dxa"/>
            <w:tcBorders>
              <w:top w:val="single" w:sz="4" w:space="0" w:color="auto"/>
              <w:left w:val="single" w:sz="4" w:space="0" w:color="auto"/>
              <w:bottom w:val="single" w:sz="4" w:space="0" w:color="000000"/>
              <w:right w:val="single" w:sz="4" w:space="0" w:color="000000"/>
            </w:tcBorders>
            <w:vAlign w:val="center"/>
            <w:hideMark/>
          </w:tcPr>
          <w:p w14:paraId="6C88A9C9" w14:textId="77777777" w:rsidR="00053CA3" w:rsidRPr="00053CA3" w:rsidRDefault="00053CA3" w:rsidP="00053CA3">
            <w:pPr>
              <w:spacing w:after="0" w:line="240" w:lineRule="auto"/>
              <w:jc w:val="center"/>
              <w:rPr>
                <w:rFonts w:ascii="Arial" w:eastAsia="Times New Roman" w:hAnsi="Arial" w:cs="Arial"/>
                <w:b/>
                <w:bCs/>
                <w:color w:val="000000"/>
                <w:sz w:val="20"/>
                <w:szCs w:val="20"/>
                <w:lang w:val="en-GB" w:eastAsia="en-GB"/>
              </w:rPr>
            </w:pPr>
            <w:r w:rsidRPr="00053CA3">
              <w:rPr>
                <w:rFonts w:ascii="Arial" w:eastAsia="Times New Roman" w:hAnsi="Arial" w:cs="Arial"/>
                <w:b/>
                <w:bCs/>
                <w:color w:val="000000"/>
                <w:sz w:val="20"/>
                <w:szCs w:val="20"/>
                <w:lang w:val="en-GB" w:eastAsia="en-GB"/>
              </w:rPr>
              <w:t>Current Position</w:t>
            </w:r>
          </w:p>
        </w:tc>
        <w:tc>
          <w:tcPr>
            <w:tcW w:w="2234" w:type="dxa"/>
            <w:tcBorders>
              <w:top w:val="single" w:sz="4" w:space="0" w:color="auto"/>
              <w:left w:val="nil"/>
              <w:bottom w:val="single" w:sz="4" w:space="0" w:color="000000"/>
              <w:right w:val="single" w:sz="4" w:space="0" w:color="000000"/>
            </w:tcBorders>
            <w:vAlign w:val="center"/>
            <w:hideMark/>
          </w:tcPr>
          <w:p w14:paraId="51E6625A" w14:textId="77777777" w:rsidR="00053CA3" w:rsidRPr="00053CA3" w:rsidRDefault="00053CA3" w:rsidP="00053CA3">
            <w:pPr>
              <w:spacing w:after="0" w:line="240" w:lineRule="auto"/>
              <w:jc w:val="center"/>
              <w:rPr>
                <w:rFonts w:ascii="Arial" w:eastAsia="Times New Roman" w:hAnsi="Arial" w:cs="Arial"/>
                <w:b/>
                <w:bCs/>
                <w:color w:val="000000"/>
                <w:sz w:val="20"/>
                <w:szCs w:val="20"/>
                <w:lang w:val="en-GB" w:eastAsia="en-GB"/>
              </w:rPr>
            </w:pPr>
            <w:r w:rsidRPr="00053CA3">
              <w:rPr>
                <w:rFonts w:ascii="Arial" w:eastAsia="Times New Roman" w:hAnsi="Arial" w:cs="Arial"/>
                <w:b/>
                <w:bCs/>
                <w:color w:val="000000"/>
                <w:sz w:val="20"/>
                <w:szCs w:val="20"/>
                <w:lang w:val="en-GB" w:eastAsia="en-GB"/>
              </w:rPr>
              <w:t>Evidence Base</w:t>
            </w:r>
          </w:p>
        </w:tc>
        <w:tc>
          <w:tcPr>
            <w:tcW w:w="3119" w:type="dxa"/>
            <w:tcBorders>
              <w:top w:val="single" w:sz="4" w:space="0" w:color="auto"/>
              <w:left w:val="nil"/>
              <w:bottom w:val="single" w:sz="4" w:space="0" w:color="000000"/>
              <w:right w:val="single" w:sz="4" w:space="0" w:color="000000"/>
            </w:tcBorders>
            <w:vAlign w:val="center"/>
            <w:hideMark/>
          </w:tcPr>
          <w:p w14:paraId="0E580AEA" w14:textId="77777777" w:rsidR="00053CA3" w:rsidRPr="00053CA3" w:rsidRDefault="00053CA3" w:rsidP="00053CA3">
            <w:pPr>
              <w:spacing w:after="0" w:line="240" w:lineRule="auto"/>
              <w:jc w:val="center"/>
              <w:rPr>
                <w:rFonts w:ascii="Arial" w:eastAsia="Times New Roman" w:hAnsi="Arial" w:cs="Arial"/>
                <w:b/>
                <w:bCs/>
                <w:color w:val="000000"/>
                <w:sz w:val="20"/>
                <w:szCs w:val="20"/>
                <w:lang w:val="en-GB" w:eastAsia="en-GB"/>
              </w:rPr>
            </w:pPr>
            <w:r w:rsidRPr="00053CA3">
              <w:rPr>
                <w:rFonts w:ascii="Arial" w:eastAsia="Times New Roman" w:hAnsi="Arial" w:cs="Arial"/>
                <w:b/>
                <w:bCs/>
                <w:color w:val="000000"/>
                <w:sz w:val="20"/>
                <w:szCs w:val="20"/>
                <w:lang w:val="en-GB" w:eastAsia="en-GB"/>
              </w:rPr>
              <w:t>Observation / Gap</w:t>
            </w:r>
          </w:p>
        </w:tc>
        <w:tc>
          <w:tcPr>
            <w:tcW w:w="2160" w:type="dxa"/>
            <w:tcBorders>
              <w:top w:val="single" w:sz="4" w:space="0" w:color="auto"/>
              <w:left w:val="nil"/>
              <w:bottom w:val="single" w:sz="4" w:space="0" w:color="000000"/>
              <w:right w:val="single" w:sz="4" w:space="0" w:color="000000"/>
            </w:tcBorders>
            <w:vAlign w:val="center"/>
            <w:hideMark/>
          </w:tcPr>
          <w:p w14:paraId="497E26F4" w14:textId="4F1E8EDC" w:rsidR="00053CA3" w:rsidRPr="00053CA3" w:rsidRDefault="00053CA3" w:rsidP="00053CA3">
            <w:pPr>
              <w:spacing w:after="0" w:line="240" w:lineRule="auto"/>
              <w:jc w:val="center"/>
              <w:rPr>
                <w:rFonts w:ascii="Arial" w:eastAsia="Times New Roman" w:hAnsi="Arial" w:cs="Arial"/>
                <w:b/>
                <w:bCs/>
                <w:color w:val="000000"/>
                <w:sz w:val="20"/>
                <w:szCs w:val="20"/>
                <w:lang w:val="en-GB" w:eastAsia="en-GB"/>
              </w:rPr>
            </w:pPr>
            <w:r>
              <w:rPr>
                <w:rFonts w:ascii="Arial" w:eastAsia="Times New Roman" w:hAnsi="Arial" w:cs="Arial"/>
                <w:b/>
                <w:bCs/>
                <w:color w:val="000000"/>
                <w:sz w:val="20"/>
                <w:szCs w:val="20"/>
                <w:lang w:val="en-GB" w:eastAsia="en-GB"/>
              </w:rPr>
              <w:t>Why it matters</w:t>
            </w:r>
          </w:p>
        </w:tc>
        <w:tc>
          <w:tcPr>
            <w:tcW w:w="3544" w:type="dxa"/>
            <w:tcBorders>
              <w:top w:val="single" w:sz="4" w:space="0" w:color="auto"/>
              <w:left w:val="nil"/>
              <w:bottom w:val="single" w:sz="4" w:space="0" w:color="000000"/>
              <w:right w:val="single" w:sz="4" w:space="0" w:color="auto"/>
            </w:tcBorders>
            <w:vAlign w:val="center"/>
            <w:hideMark/>
          </w:tcPr>
          <w:p w14:paraId="07A93DA7" w14:textId="77777777" w:rsidR="00053CA3" w:rsidRPr="00053CA3" w:rsidRDefault="00053CA3" w:rsidP="00053CA3">
            <w:pPr>
              <w:spacing w:after="0" w:line="240" w:lineRule="auto"/>
              <w:jc w:val="center"/>
              <w:rPr>
                <w:rFonts w:ascii="Arial" w:eastAsia="Times New Roman" w:hAnsi="Arial" w:cs="Arial"/>
                <w:b/>
                <w:bCs/>
                <w:color w:val="000000"/>
                <w:lang w:val="en-GB" w:eastAsia="en-GB"/>
              </w:rPr>
            </w:pPr>
            <w:r w:rsidRPr="00053CA3">
              <w:rPr>
                <w:rFonts w:ascii="Arial" w:eastAsia="Times New Roman" w:hAnsi="Arial" w:cs="Arial"/>
                <w:b/>
                <w:bCs/>
                <w:color w:val="000000"/>
                <w:lang w:val="en-GB" w:eastAsia="en-GB"/>
              </w:rPr>
              <w:t>Opportunity to Strengthen</w:t>
            </w:r>
          </w:p>
        </w:tc>
      </w:tr>
      <w:tr w:rsidR="00053CA3" w:rsidRPr="00053CA3" w14:paraId="77E0B204" w14:textId="77777777" w:rsidTr="00CA2887">
        <w:trPr>
          <w:trHeight w:val="315"/>
        </w:trPr>
        <w:tc>
          <w:tcPr>
            <w:tcW w:w="317" w:type="dxa"/>
            <w:tcBorders>
              <w:top w:val="nil"/>
              <w:left w:val="single" w:sz="4" w:space="0" w:color="000000"/>
              <w:bottom w:val="single" w:sz="4" w:space="0" w:color="000000"/>
              <w:right w:val="single" w:sz="4" w:space="0" w:color="auto"/>
            </w:tcBorders>
            <w:vAlign w:val="center"/>
            <w:hideMark/>
          </w:tcPr>
          <w:p w14:paraId="0C243EE8" w14:textId="77777777" w:rsidR="00053CA3" w:rsidRPr="00053CA3" w:rsidRDefault="00053CA3" w:rsidP="00053CA3">
            <w:pPr>
              <w:spacing w:after="0" w:line="240" w:lineRule="auto"/>
              <w:jc w:val="center"/>
              <w:rPr>
                <w:rFonts w:ascii="Arial" w:eastAsia="Times New Roman" w:hAnsi="Arial" w:cs="Arial"/>
                <w:color w:val="000000"/>
                <w:sz w:val="18"/>
                <w:szCs w:val="18"/>
                <w:lang w:val="en-GB" w:eastAsia="en-GB"/>
              </w:rPr>
            </w:pPr>
            <w:r w:rsidRPr="00053CA3">
              <w:rPr>
                <w:rFonts w:ascii="Arial" w:eastAsia="Times New Roman" w:hAnsi="Arial" w:cs="Arial"/>
                <w:color w:val="000000"/>
                <w:sz w:val="18"/>
                <w:szCs w:val="18"/>
                <w:lang w:val="en-GB" w:eastAsia="en-GB"/>
              </w:rPr>
              <w:t>1</w:t>
            </w:r>
          </w:p>
        </w:tc>
        <w:tc>
          <w:tcPr>
            <w:tcW w:w="1348" w:type="dxa"/>
            <w:tcBorders>
              <w:top w:val="single" w:sz="4" w:space="0" w:color="auto"/>
              <w:left w:val="single" w:sz="4" w:space="0" w:color="auto"/>
              <w:bottom w:val="single" w:sz="4" w:space="0" w:color="auto"/>
              <w:right w:val="single" w:sz="4" w:space="0" w:color="auto"/>
            </w:tcBorders>
            <w:vAlign w:val="center"/>
            <w:hideMark/>
          </w:tcPr>
          <w:p w14:paraId="658E0BFE" w14:textId="77777777" w:rsidR="00053CA3" w:rsidRPr="00053CA3" w:rsidRDefault="00053CA3" w:rsidP="00053CA3">
            <w:pPr>
              <w:spacing w:after="0" w:line="240" w:lineRule="auto"/>
              <w:ind w:left="1"/>
              <w:rPr>
                <w:rFonts w:ascii="Arial" w:eastAsia="Times New Roman" w:hAnsi="Arial" w:cs="Arial"/>
                <w:color w:val="000000"/>
                <w:sz w:val="18"/>
                <w:szCs w:val="18"/>
                <w:lang w:val="en-GB" w:eastAsia="en-GB"/>
              </w:rPr>
            </w:pPr>
            <w:r w:rsidRPr="00053CA3">
              <w:rPr>
                <w:rFonts w:ascii="Arial" w:eastAsia="Times New Roman" w:hAnsi="Arial" w:cs="Arial"/>
                <w:color w:val="000000"/>
                <w:sz w:val="18"/>
                <w:szCs w:val="18"/>
                <w:lang w:val="en-GB" w:eastAsia="en-GB"/>
              </w:rPr>
              <w:t>Development must be supported by infrastructure</w:t>
            </w:r>
          </w:p>
        </w:tc>
        <w:tc>
          <w:tcPr>
            <w:tcW w:w="1454" w:type="dxa"/>
            <w:tcBorders>
              <w:top w:val="single" w:sz="4" w:space="0" w:color="000000"/>
              <w:left w:val="single" w:sz="4" w:space="0" w:color="auto"/>
              <w:bottom w:val="single" w:sz="4" w:space="0" w:color="000000"/>
              <w:right w:val="single" w:sz="4" w:space="0" w:color="000000"/>
            </w:tcBorders>
            <w:vAlign w:val="center"/>
            <w:hideMark/>
          </w:tcPr>
          <w:p w14:paraId="156F0B93" w14:textId="77777777" w:rsidR="00053CA3" w:rsidRPr="00053CA3" w:rsidRDefault="00053CA3" w:rsidP="00053CA3">
            <w:pPr>
              <w:spacing w:after="0" w:line="240" w:lineRule="auto"/>
              <w:rPr>
                <w:rFonts w:ascii="Arial" w:eastAsia="Times New Roman" w:hAnsi="Arial" w:cs="Arial"/>
                <w:color w:val="000000"/>
                <w:sz w:val="18"/>
                <w:szCs w:val="18"/>
                <w:lang w:val="en-GB" w:eastAsia="en-GB"/>
              </w:rPr>
            </w:pPr>
            <w:r w:rsidRPr="00053CA3">
              <w:rPr>
                <w:rFonts w:ascii="Arial" w:eastAsia="Times New Roman" w:hAnsi="Arial" w:cs="Arial"/>
                <w:color w:val="000000"/>
                <w:sz w:val="18"/>
                <w:szCs w:val="18"/>
                <w:lang w:val="en-GB" w:eastAsia="en-GB"/>
              </w:rPr>
              <w:t>LL11 identifies priority social infrastructure and supports developer contributions.</w:t>
            </w:r>
          </w:p>
        </w:tc>
        <w:tc>
          <w:tcPr>
            <w:tcW w:w="2234" w:type="dxa"/>
            <w:tcBorders>
              <w:top w:val="nil"/>
              <w:left w:val="nil"/>
              <w:bottom w:val="single" w:sz="4" w:space="0" w:color="000000"/>
              <w:right w:val="single" w:sz="4" w:space="0" w:color="000000"/>
            </w:tcBorders>
            <w:vAlign w:val="center"/>
            <w:hideMark/>
          </w:tcPr>
          <w:p w14:paraId="601BB7B4" w14:textId="77777777" w:rsidR="00053CA3" w:rsidRPr="00053CA3" w:rsidRDefault="00053CA3" w:rsidP="00CA2887">
            <w:pPr>
              <w:spacing w:after="0" w:line="240" w:lineRule="auto"/>
              <w:rPr>
                <w:rFonts w:ascii="Arial" w:eastAsia="Times New Roman" w:hAnsi="Arial" w:cs="Arial"/>
                <w:color w:val="000000"/>
                <w:sz w:val="18"/>
                <w:szCs w:val="18"/>
                <w:lang w:val="en-GB" w:eastAsia="en-GB"/>
              </w:rPr>
            </w:pPr>
            <w:r w:rsidRPr="00053CA3">
              <w:rPr>
                <w:rFonts w:ascii="Arial" w:eastAsia="Times New Roman" w:hAnsi="Arial" w:cs="Arial"/>
                <w:color w:val="000000"/>
                <w:sz w:val="18"/>
                <w:szCs w:val="18"/>
                <w:lang w:val="en-GB" w:eastAsia="en-GB"/>
              </w:rPr>
              <w:t>The SEA seeks the appropriate and timely provision of infrastructure to support growth.</w:t>
            </w:r>
          </w:p>
        </w:tc>
        <w:tc>
          <w:tcPr>
            <w:tcW w:w="3119" w:type="dxa"/>
            <w:tcBorders>
              <w:top w:val="nil"/>
              <w:left w:val="nil"/>
              <w:bottom w:val="single" w:sz="4" w:space="0" w:color="000000"/>
              <w:right w:val="single" w:sz="4" w:space="0" w:color="000000"/>
            </w:tcBorders>
            <w:vAlign w:val="center"/>
            <w:hideMark/>
          </w:tcPr>
          <w:p w14:paraId="2263622A" w14:textId="77777777" w:rsidR="00053CA3" w:rsidRPr="00053CA3" w:rsidRDefault="00053CA3" w:rsidP="00053CA3">
            <w:pPr>
              <w:spacing w:after="0" w:line="240" w:lineRule="auto"/>
              <w:rPr>
                <w:rFonts w:ascii="Arial" w:eastAsia="Times New Roman" w:hAnsi="Arial" w:cs="Arial"/>
                <w:color w:val="000000"/>
                <w:sz w:val="18"/>
                <w:szCs w:val="18"/>
                <w:lang w:val="en-GB" w:eastAsia="en-GB"/>
              </w:rPr>
            </w:pPr>
            <w:r w:rsidRPr="00053CA3">
              <w:rPr>
                <w:rFonts w:ascii="Arial" w:eastAsia="Times New Roman" w:hAnsi="Arial" w:cs="Arial"/>
                <w:color w:val="000000"/>
                <w:sz w:val="18"/>
                <w:szCs w:val="18"/>
                <w:lang w:val="en-GB" w:eastAsia="en-GB"/>
              </w:rPr>
              <w:t>The evidence supports timely infrastructure, but the Plan does not establish an overarching principle linking significant development to infrastructure delivery.</w:t>
            </w:r>
          </w:p>
        </w:tc>
        <w:tc>
          <w:tcPr>
            <w:tcW w:w="2160" w:type="dxa"/>
            <w:tcBorders>
              <w:top w:val="nil"/>
              <w:left w:val="nil"/>
              <w:bottom w:val="single" w:sz="4" w:space="0" w:color="000000"/>
              <w:right w:val="single" w:sz="4" w:space="0" w:color="000000"/>
            </w:tcBorders>
            <w:vAlign w:val="center"/>
            <w:hideMark/>
          </w:tcPr>
          <w:p w14:paraId="40BD8F1D" w14:textId="77777777" w:rsidR="00053CA3" w:rsidRPr="00053CA3" w:rsidRDefault="00053CA3" w:rsidP="00053CA3">
            <w:pPr>
              <w:spacing w:after="0" w:line="240" w:lineRule="auto"/>
              <w:rPr>
                <w:rFonts w:ascii="Arial" w:eastAsia="Times New Roman" w:hAnsi="Arial" w:cs="Arial"/>
                <w:color w:val="000000"/>
                <w:sz w:val="18"/>
                <w:szCs w:val="18"/>
                <w:lang w:val="en-GB" w:eastAsia="en-GB"/>
              </w:rPr>
            </w:pPr>
            <w:r w:rsidRPr="00053CA3">
              <w:rPr>
                <w:rFonts w:ascii="Arial" w:eastAsia="Times New Roman" w:hAnsi="Arial" w:cs="Arial"/>
                <w:color w:val="000000"/>
                <w:sz w:val="18"/>
                <w:szCs w:val="18"/>
                <w:lang w:val="en-GB" w:eastAsia="en-GB"/>
              </w:rPr>
              <w:t>Infrastructure could be delivered after development without a clear policy expectation for timely provision.</w:t>
            </w:r>
          </w:p>
        </w:tc>
        <w:tc>
          <w:tcPr>
            <w:tcW w:w="3544" w:type="dxa"/>
            <w:tcBorders>
              <w:top w:val="single" w:sz="4" w:space="0" w:color="000000"/>
              <w:left w:val="nil"/>
              <w:bottom w:val="single" w:sz="4" w:space="0" w:color="000000"/>
              <w:right w:val="single" w:sz="4" w:space="0" w:color="auto"/>
            </w:tcBorders>
            <w:vAlign w:val="center"/>
            <w:hideMark/>
          </w:tcPr>
          <w:p w14:paraId="432830B0" w14:textId="77777777" w:rsidR="00053CA3" w:rsidRPr="00053CA3" w:rsidRDefault="00053CA3" w:rsidP="00053CA3">
            <w:pPr>
              <w:spacing w:after="0" w:line="240" w:lineRule="auto"/>
              <w:rPr>
                <w:rFonts w:ascii="Arial" w:eastAsia="Times New Roman" w:hAnsi="Arial" w:cs="Arial"/>
                <w:color w:val="000000"/>
                <w:sz w:val="18"/>
                <w:szCs w:val="18"/>
                <w:lang w:val="en-GB" w:eastAsia="en-GB"/>
              </w:rPr>
            </w:pPr>
            <w:r w:rsidRPr="00053CA3">
              <w:rPr>
                <w:rFonts w:ascii="Arial" w:eastAsia="Times New Roman" w:hAnsi="Arial" w:cs="Arial"/>
                <w:color w:val="000000"/>
                <w:sz w:val="18"/>
                <w:szCs w:val="18"/>
                <w:lang w:val="en-GB" w:eastAsia="en-GB"/>
              </w:rPr>
              <w:t>Add a cross-cutting principle explaining that significant development should be supported by the infrastructure needed to accommodate it, delivered before or alongside development where appropriate.</w:t>
            </w:r>
          </w:p>
        </w:tc>
      </w:tr>
      <w:tr w:rsidR="00053CA3" w:rsidRPr="00053CA3" w14:paraId="2E95C4C4" w14:textId="77777777" w:rsidTr="00CA2887">
        <w:trPr>
          <w:trHeight w:val="315"/>
        </w:trPr>
        <w:tc>
          <w:tcPr>
            <w:tcW w:w="317" w:type="dxa"/>
            <w:tcBorders>
              <w:top w:val="nil"/>
              <w:left w:val="single" w:sz="4" w:space="0" w:color="000000"/>
              <w:bottom w:val="single" w:sz="4" w:space="0" w:color="000000"/>
              <w:right w:val="single" w:sz="4" w:space="0" w:color="auto"/>
            </w:tcBorders>
            <w:vAlign w:val="center"/>
            <w:hideMark/>
          </w:tcPr>
          <w:p w14:paraId="021A3ABE" w14:textId="77777777" w:rsidR="00053CA3" w:rsidRPr="00053CA3" w:rsidRDefault="00053CA3" w:rsidP="00053CA3">
            <w:pPr>
              <w:spacing w:after="0" w:line="240" w:lineRule="auto"/>
              <w:jc w:val="center"/>
              <w:rPr>
                <w:rFonts w:ascii="Arial" w:eastAsia="Times New Roman" w:hAnsi="Arial" w:cs="Arial"/>
                <w:color w:val="000000"/>
                <w:sz w:val="18"/>
                <w:szCs w:val="18"/>
                <w:lang w:val="en-GB" w:eastAsia="en-GB"/>
              </w:rPr>
            </w:pPr>
            <w:r w:rsidRPr="00053CA3">
              <w:rPr>
                <w:rFonts w:ascii="Arial" w:eastAsia="Times New Roman" w:hAnsi="Arial" w:cs="Arial"/>
                <w:color w:val="000000"/>
                <w:sz w:val="18"/>
                <w:szCs w:val="18"/>
                <w:lang w:val="en-GB" w:eastAsia="en-GB"/>
              </w:rPr>
              <w:t>2</w:t>
            </w:r>
          </w:p>
        </w:tc>
        <w:tc>
          <w:tcPr>
            <w:tcW w:w="1348" w:type="dxa"/>
            <w:tcBorders>
              <w:top w:val="single" w:sz="4" w:space="0" w:color="auto"/>
              <w:left w:val="single" w:sz="4" w:space="0" w:color="auto"/>
              <w:bottom w:val="single" w:sz="4" w:space="0" w:color="auto"/>
              <w:right w:val="single" w:sz="4" w:space="0" w:color="auto"/>
            </w:tcBorders>
            <w:vAlign w:val="center"/>
            <w:hideMark/>
          </w:tcPr>
          <w:p w14:paraId="434C4518" w14:textId="77777777" w:rsidR="00053CA3" w:rsidRPr="00053CA3" w:rsidRDefault="00053CA3" w:rsidP="00053CA3">
            <w:pPr>
              <w:spacing w:after="0" w:line="240" w:lineRule="auto"/>
              <w:ind w:left="1"/>
              <w:rPr>
                <w:rFonts w:ascii="Arial" w:eastAsia="Times New Roman" w:hAnsi="Arial" w:cs="Arial"/>
                <w:color w:val="000000"/>
                <w:sz w:val="18"/>
                <w:szCs w:val="18"/>
                <w:lang w:val="en-GB" w:eastAsia="en-GB"/>
              </w:rPr>
            </w:pPr>
            <w:r w:rsidRPr="00053CA3">
              <w:rPr>
                <w:rFonts w:ascii="Arial" w:eastAsia="Times New Roman" w:hAnsi="Arial" w:cs="Arial"/>
                <w:color w:val="000000"/>
                <w:sz w:val="18"/>
                <w:szCs w:val="18"/>
                <w:lang w:val="en-GB" w:eastAsia="en-GB"/>
              </w:rPr>
              <w:t xml:space="preserve">Plan for the community the town </w:t>
            </w:r>
            <w:proofErr w:type="gramStart"/>
            <w:r w:rsidRPr="00053CA3">
              <w:rPr>
                <w:rFonts w:ascii="Arial" w:eastAsia="Times New Roman" w:hAnsi="Arial" w:cs="Arial"/>
                <w:color w:val="000000"/>
                <w:sz w:val="18"/>
                <w:szCs w:val="18"/>
                <w:lang w:val="en-GB" w:eastAsia="en-GB"/>
              </w:rPr>
              <w:t>actually serves</w:t>
            </w:r>
            <w:proofErr w:type="gramEnd"/>
          </w:p>
        </w:tc>
        <w:tc>
          <w:tcPr>
            <w:tcW w:w="1454" w:type="dxa"/>
            <w:tcBorders>
              <w:top w:val="single" w:sz="4" w:space="0" w:color="000000"/>
              <w:left w:val="single" w:sz="4" w:space="0" w:color="auto"/>
              <w:bottom w:val="single" w:sz="4" w:space="0" w:color="000000"/>
              <w:right w:val="single" w:sz="4" w:space="0" w:color="000000"/>
            </w:tcBorders>
            <w:vAlign w:val="center"/>
            <w:hideMark/>
          </w:tcPr>
          <w:p w14:paraId="60037ACB" w14:textId="77777777" w:rsidR="00053CA3" w:rsidRPr="00053CA3" w:rsidRDefault="00053CA3" w:rsidP="00053CA3">
            <w:pPr>
              <w:spacing w:after="0" w:line="240" w:lineRule="auto"/>
              <w:rPr>
                <w:rFonts w:ascii="Arial" w:eastAsia="Times New Roman" w:hAnsi="Arial" w:cs="Arial"/>
                <w:color w:val="000000"/>
                <w:sz w:val="18"/>
                <w:szCs w:val="18"/>
                <w:lang w:val="en-GB" w:eastAsia="en-GB"/>
              </w:rPr>
            </w:pPr>
            <w:r w:rsidRPr="00053CA3">
              <w:rPr>
                <w:rFonts w:ascii="Arial" w:eastAsia="Times New Roman" w:hAnsi="Arial" w:cs="Arial"/>
                <w:color w:val="000000"/>
                <w:sz w:val="18"/>
                <w:szCs w:val="18"/>
                <w:lang w:val="en-GB" w:eastAsia="en-GB"/>
              </w:rPr>
              <w:t>The Plan recognises residents together with people who visit and work in the town.</w:t>
            </w:r>
          </w:p>
        </w:tc>
        <w:tc>
          <w:tcPr>
            <w:tcW w:w="2234" w:type="dxa"/>
            <w:tcBorders>
              <w:top w:val="nil"/>
              <w:left w:val="nil"/>
              <w:bottom w:val="single" w:sz="4" w:space="0" w:color="000000"/>
              <w:right w:val="single" w:sz="4" w:space="0" w:color="000000"/>
            </w:tcBorders>
            <w:vAlign w:val="center"/>
            <w:hideMark/>
          </w:tcPr>
          <w:p w14:paraId="008A9CC2" w14:textId="77777777" w:rsidR="00053CA3" w:rsidRPr="00053CA3" w:rsidRDefault="00053CA3" w:rsidP="00CA2887">
            <w:pPr>
              <w:spacing w:after="0" w:line="240" w:lineRule="auto"/>
              <w:rPr>
                <w:rFonts w:ascii="Arial" w:eastAsia="Times New Roman" w:hAnsi="Arial" w:cs="Arial"/>
                <w:color w:val="000000"/>
                <w:sz w:val="18"/>
                <w:szCs w:val="18"/>
                <w:lang w:val="en-GB" w:eastAsia="en-GB"/>
              </w:rPr>
            </w:pPr>
            <w:r w:rsidRPr="00053CA3">
              <w:rPr>
                <w:rFonts w:ascii="Arial" w:eastAsia="Times New Roman" w:hAnsi="Arial" w:cs="Arial"/>
                <w:color w:val="000000"/>
                <w:sz w:val="18"/>
                <w:szCs w:val="18"/>
                <w:lang w:val="en-GB" w:eastAsia="en-GB"/>
              </w:rPr>
              <w:t>Consultation identifies concerns over healthcare, rail capacity, congestion and cumulative pressures.</w:t>
            </w:r>
          </w:p>
        </w:tc>
        <w:tc>
          <w:tcPr>
            <w:tcW w:w="3119" w:type="dxa"/>
            <w:tcBorders>
              <w:top w:val="nil"/>
              <w:left w:val="nil"/>
              <w:bottom w:val="single" w:sz="4" w:space="0" w:color="000000"/>
              <w:right w:val="single" w:sz="4" w:space="0" w:color="000000"/>
            </w:tcBorders>
            <w:vAlign w:val="center"/>
            <w:hideMark/>
          </w:tcPr>
          <w:p w14:paraId="60AC7E3D" w14:textId="77777777" w:rsidR="00053CA3" w:rsidRPr="00053CA3" w:rsidRDefault="00053CA3" w:rsidP="00053CA3">
            <w:pPr>
              <w:spacing w:after="0" w:line="240" w:lineRule="auto"/>
              <w:rPr>
                <w:rFonts w:ascii="Arial" w:eastAsia="Times New Roman" w:hAnsi="Arial" w:cs="Arial"/>
                <w:color w:val="000000"/>
                <w:sz w:val="18"/>
                <w:szCs w:val="18"/>
                <w:lang w:val="en-GB" w:eastAsia="en-GB"/>
              </w:rPr>
            </w:pPr>
            <w:r w:rsidRPr="00053CA3">
              <w:rPr>
                <w:rFonts w:ascii="Arial" w:eastAsia="Times New Roman" w:hAnsi="Arial" w:cs="Arial"/>
                <w:color w:val="000000"/>
                <w:sz w:val="18"/>
                <w:szCs w:val="18"/>
                <w:lang w:val="en-GB" w:eastAsia="en-GB"/>
              </w:rPr>
              <w:t>The Plan acknowledges the town's wider role but does not fully explain the implications for infrastructure demand or explicitly recognise that capacity should be considered alongside proximity.</w:t>
            </w:r>
          </w:p>
        </w:tc>
        <w:tc>
          <w:tcPr>
            <w:tcW w:w="2160" w:type="dxa"/>
            <w:tcBorders>
              <w:top w:val="nil"/>
              <w:left w:val="nil"/>
              <w:bottom w:val="single" w:sz="4" w:space="0" w:color="000000"/>
              <w:right w:val="single" w:sz="4" w:space="0" w:color="000000"/>
            </w:tcBorders>
            <w:vAlign w:val="center"/>
            <w:hideMark/>
          </w:tcPr>
          <w:p w14:paraId="7B830AFB" w14:textId="77777777" w:rsidR="00053CA3" w:rsidRPr="00053CA3" w:rsidRDefault="00053CA3" w:rsidP="00053CA3">
            <w:pPr>
              <w:spacing w:after="0" w:line="240" w:lineRule="auto"/>
              <w:rPr>
                <w:rFonts w:ascii="Arial" w:eastAsia="Times New Roman" w:hAnsi="Arial" w:cs="Arial"/>
                <w:color w:val="000000"/>
                <w:sz w:val="18"/>
                <w:szCs w:val="18"/>
                <w:lang w:val="en-GB" w:eastAsia="en-GB"/>
              </w:rPr>
            </w:pPr>
            <w:r w:rsidRPr="00053CA3">
              <w:rPr>
                <w:rFonts w:ascii="Arial" w:eastAsia="Times New Roman" w:hAnsi="Arial" w:cs="Arial"/>
                <w:color w:val="000000"/>
                <w:sz w:val="18"/>
                <w:szCs w:val="18"/>
                <w:lang w:val="en-GB" w:eastAsia="en-GB"/>
              </w:rPr>
              <w:t>A future applicant could demonstrate proximity to facilities without addressing whether those facilities have sufficient capacity.</w:t>
            </w:r>
          </w:p>
        </w:tc>
        <w:tc>
          <w:tcPr>
            <w:tcW w:w="3544" w:type="dxa"/>
            <w:tcBorders>
              <w:top w:val="single" w:sz="4" w:space="0" w:color="000000"/>
              <w:left w:val="nil"/>
              <w:bottom w:val="single" w:sz="4" w:space="0" w:color="000000"/>
              <w:right w:val="single" w:sz="4" w:space="0" w:color="auto"/>
            </w:tcBorders>
            <w:vAlign w:val="center"/>
            <w:hideMark/>
          </w:tcPr>
          <w:p w14:paraId="6D4942D5" w14:textId="77777777" w:rsidR="00053CA3" w:rsidRPr="00053CA3" w:rsidRDefault="00053CA3" w:rsidP="00053CA3">
            <w:pPr>
              <w:spacing w:after="0" w:line="240" w:lineRule="auto"/>
              <w:rPr>
                <w:rFonts w:ascii="Arial" w:eastAsia="Times New Roman" w:hAnsi="Arial" w:cs="Arial"/>
                <w:color w:val="000000"/>
                <w:sz w:val="18"/>
                <w:szCs w:val="18"/>
                <w:lang w:val="en-GB" w:eastAsia="en-GB"/>
              </w:rPr>
            </w:pPr>
            <w:r w:rsidRPr="00053CA3">
              <w:rPr>
                <w:rFonts w:ascii="Arial" w:eastAsia="Times New Roman" w:hAnsi="Arial" w:cs="Arial"/>
                <w:color w:val="000000"/>
                <w:sz w:val="18"/>
                <w:szCs w:val="18"/>
                <w:lang w:val="en-GB" w:eastAsia="en-GB"/>
              </w:rPr>
              <w:t>Add supporting text recognising Leighton-Linslade's wider service role and encouraging consideration of infrastructure capacity and cumulative demand when assessing sustainability.</w:t>
            </w:r>
          </w:p>
        </w:tc>
      </w:tr>
      <w:tr w:rsidR="00053CA3" w:rsidRPr="00053CA3" w14:paraId="6613F3FF" w14:textId="77777777" w:rsidTr="00CA2887">
        <w:trPr>
          <w:trHeight w:val="1304"/>
        </w:trPr>
        <w:tc>
          <w:tcPr>
            <w:tcW w:w="317" w:type="dxa"/>
            <w:tcBorders>
              <w:top w:val="nil"/>
              <w:left w:val="single" w:sz="4" w:space="0" w:color="000000"/>
              <w:bottom w:val="single" w:sz="4" w:space="0" w:color="000000"/>
              <w:right w:val="single" w:sz="4" w:space="0" w:color="auto"/>
            </w:tcBorders>
            <w:vAlign w:val="center"/>
            <w:hideMark/>
          </w:tcPr>
          <w:p w14:paraId="42AA4F85" w14:textId="77777777" w:rsidR="00053CA3" w:rsidRPr="00053CA3" w:rsidRDefault="00053CA3" w:rsidP="00053CA3">
            <w:pPr>
              <w:spacing w:after="0" w:line="240" w:lineRule="auto"/>
              <w:jc w:val="center"/>
              <w:rPr>
                <w:rFonts w:ascii="Arial" w:eastAsia="Times New Roman" w:hAnsi="Arial" w:cs="Arial"/>
                <w:color w:val="000000"/>
                <w:sz w:val="18"/>
                <w:szCs w:val="18"/>
                <w:lang w:val="en-GB" w:eastAsia="en-GB"/>
              </w:rPr>
            </w:pPr>
            <w:r w:rsidRPr="00053CA3">
              <w:rPr>
                <w:rFonts w:ascii="Arial" w:eastAsia="Times New Roman" w:hAnsi="Arial" w:cs="Arial"/>
                <w:color w:val="000000"/>
                <w:sz w:val="18"/>
                <w:szCs w:val="18"/>
                <w:lang w:val="en-GB" w:eastAsia="en-GB"/>
              </w:rPr>
              <w:t>3</w:t>
            </w:r>
          </w:p>
        </w:tc>
        <w:tc>
          <w:tcPr>
            <w:tcW w:w="1348" w:type="dxa"/>
            <w:tcBorders>
              <w:top w:val="single" w:sz="4" w:space="0" w:color="auto"/>
              <w:left w:val="single" w:sz="4" w:space="0" w:color="auto"/>
              <w:bottom w:val="single" w:sz="4" w:space="0" w:color="auto"/>
              <w:right w:val="single" w:sz="4" w:space="0" w:color="auto"/>
            </w:tcBorders>
            <w:vAlign w:val="center"/>
            <w:hideMark/>
          </w:tcPr>
          <w:p w14:paraId="1AB983A0" w14:textId="77777777" w:rsidR="00053CA3" w:rsidRPr="00053CA3" w:rsidRDefault="00053CA3" w:rsidP="00053CA3">
            <w:pPr>
              <w:spacing w:after="0" w:line="240" w:lineRule="auto"/>
              <w:ind w:left="1"/>
              <w:rPr>
                <w:rFonts w:ascii="Arial" w:eastAsia="Times New Roman" w:hAnsi="Arial" w:cs="Arial"/>
                <w:color w:val="000000"/>
                <w:sz w:val="18"/>
                <w:szCs w:val="18"/>
                <w:lang w:val="en-GB" w:eastAsia="en-GB"/>
              </w:rPr>
            </w:pPr>
            <w:r w:rsidRPr="00053CA3">
              <w:rPr>
                <w:rFonts w:ascii="Arial" w:eastAsia="Times New Roman" w:hAnsi="Arial" w:cs="Arial"/>
                <w:color w:val="000000"/>
                <w:sz w:val="18"/>
                <w:szCs w:val="18"/>
                <w:lang w:val="en-GB" w:eastAsia="en-GB"/>
              </w:rPr>
              <w:t>Support safe, connected everyday journeys</w:t>
            </w:r>
          </w:p>
        </w:tc>
        <w:tc>
          <w:tcPr>
            <w:tcW w:w="1454" w:type="dxa"/>
            <w:tcBorders>
              <w:top w:val="single" w:sz="4" w:space="0" w:color="000000"/>
              <w:left w:val="single" w:sz="4" w:space="0" w:color="auto"/>
              <w:bottom w:val="single" w:sz="4" w:space="0" w:color="000000"/>
              <w:right w:val="single" w:sz="4" w:space="0" w:color="000000"/>
            </w:tcBorders>
            <w:vAlign w:val="center"/>
            <w:hideMark/>
          </w:tcPr>
          <w:p w14:paraId="59FB5097" w14:textId="77777777" w:rsidR="00053CA3" w:rsidRPr="00053CA3" w:rsidRDefault="00053CA3" w:rsidP="00053CA3">
            <w:pPr>
              <w:spacing w:after="0" w:line="240" w:lineRule="auto"/>
              <w:rPr>
                <w:rFonts w:ascii="Arial" w:eastAsia="Times New Roman" w:hAnsi="Arial" w:cs="Arial"/>
                <w:color w:val="000000"/>
                <w:sz w:val="18"/>
                <w:szCs w:val="18"/>
                <w:lang w:val="en-GB" w:eastAsia="en-GB"/>
              </w:rPr>
            </w:pPr>
            <w:r w:rsidRPr="00053CA3">
              <w:rPr>
                <w:rFonts w:ascii="Arial" w:eastAsia="Times New Roman" w:hAnsi="Arial" w:cs="Arial"/>
                <w:color w:val="000000"/>
                <w:sz w:val="18"/>
                <w:szCs w:val="18"/>
                <w:lang w:val="en-GB" w:eastAsia="en-GB"/>
              </w:rPr>
              <w:t>LL10 supports active travel. LL12 supports education sites.</w:t>
            </w:r>
          </w:p>
        </w:tc>
        <w:tc>
          <w:tcPr>
            <w:tcW w:w="2234" w:type="dxa"/>
            <w:tcBorders>
              <w:top w:val="nil"/>
              <w:left w:val="nil"/>
              <w:bottom w:val="single" w:sz="4" w:space="0" w:color="000000"/>
              <w:right w:val="single" w:sz="4" w:space="0" w:color="000000"/>
            </w:tcBorders>
            <w:vAlign w:val="center"/>
            <w:hideMark/>
          </w:tcPr>
          <w:p w14:paraId="194F84ED" w14:textId="77777777" w:rsidR="00053CA3" w:rsidRPr="00053CA3" w:rsidRDefault="00053CA3" w:rsidP="00CA2887">
            <w:pPr>
              <w:spacing w:after="0" w:line="240" w:lineRule="auto"/>
              <w:rPr>
                <w:rFonts w:ascii="Arial" w:eastAsia="Times New Roman" w:hAnsi="Arial" w:cs="Arial"/>
                <w:color w:val="000000"/>
                <w:sz w:val="18"/>
                <w:szCs w:val="18"/>
                <w:lang w:val="en-GB" w:eastAsia="en-GB"/>
              </w:rPr>
            </w:pPr>
            <w:r w:rsidRPr="00053CA3">
              <w:rPr>
                <w:rFonts w:ascii="Arial" w:eastAsia="Times New Roman" w:hAnsi="Arial" w:cs="Arial"/>
                <w:color w:val="000000"/>
                <w:sz w:val="18"/>
                <w:szCs w:val="18"/>
                <w:lang w:val="en-GB" w:eastAsia="en-GB"/>
              </w:rPr>
              <w:t>Consultation strongly supports safer crossings, school routes, missing pavements and LCWIP delivery.</w:t>
            </w:r>
          </w:p>
        </w:tc>
        <w:tc>
          <w:tcPr>
            <w:tcW w:w="3119" w:type="dxa"/>
            <w:tcBorders>
              <w:top w:val="nil"/>
              <w:left w:val="nil"/>
              <w:bottom w:val="single" w:sz="4" w:space="0" w:color="000000"/>
              <w:right w:val="single" w:sz="4" w:space="0" w:color="000000"/>
            </w:tcBorders>
            <w:vAlign w:val="center"/>
            <w:hideMark/>
          </w:tcPr>
          <w:p w14:paraId="1AAB4A4C" w14:textId="77777777" w:rsidR="00053CA3" w:rsidRPr="00053CA3" w:rsidRDefault="00053CA3" w:rsidP="00053CA3">
            <w:pPr>
              <w:spacing w:after="0" w:line="240" w:lineRule="auto"/>
              <w:rPr>
                <w:rFonts w:ascii="Arial" w:eastAsia="Times New Roman" w:hAnsi="Arial" w:cs="Arial"/>
                <w:color w:val="000000"/>
                <w:sz w:val="18"/>
                <w:szCs w:val="18"/>
                <w:lang w:val="en-GB" w:eastAsia="en-GB"/>
              </w:rPr>
            </w:pPr>
            <w:r w:rsidRPr="00053CA3">
              <w:rPr>
                <w:rFonts w:ascii="Arial" w:eastAsia="Times New Roman" w:hAnsi="Arial" w:cs="Arial"/>
                <w:color w:val="000000"/>
                <w:sz w:val="18"/>
                <w:szCs w:val="18"/>
                <w:lang w:val="en-GB" w:eastAsia="en-GB"/>
              </w:rPr>
              <w:t>The Plan promotes active travel but does not clearly connect education with the quality and safety of everyday journeys to school.</w:t>
            </w:r>
          </w:p>
        </w:tc>
        <w:tc>
          <w:tcPr>
            <w:tcW w:w="2160" w:type="dxa"/>
            <w:tcBorders>
              <w:top w:val="nil"/>
              <w:left w:val="nil"/>
              <w:bottom w:val="single" w:sz="4" w:space="0" w:color="000000"/>
              <w:right w:val="single" w:sz="4" w:space="0" w:color="000000"/>
            </w:tcBorders>
            <w:vAlign w:val="center"/>
            <w:hideMark/>
          </w:tcPr>
          <w:p w14:paraId="23D7E177" w14:textId="77777777" w:rsidR="00053CA3" w:rsidRPr="00053CA3" w:rsidRDefault="00053CA3" w:rsidP="00053CA3">
            <w:pPr>
              <w:spacing w:after="0" w:line="240" w:lineRule="auto"/>
              <w:rPr>
                <w:rFonts w:ascii="Arial" w:eastAsia="Times New Roman" w:hAnsi="Arial" w:cs="Arial"/>
                <w:color w:val="000000"/>
                <w:sz w:val="18"/>
                <w:szCs w:val="18"/>
                <w:lang w:val="en-GB" w:eastAsia="en-GB"/>
              </w:rPr>
            </w:pPr>
            <w:r w:rsidRPr="00053CA3">
              <w:rPr>
                <w:rFonts w:ascii="Arial" w:eastAsia="Times New Roman" w:hAnsi="Arial" w:cs="Arial"/>
                <w:color w:val="000000"/>
                <w:sz w:val="18"/>
                <w:szCs w:val="18"/>
                <w:lang w:val="en-GB" w:eastAsia="en-GB"/>
              </w:rPr>
              <w:t>Development could technically comply while leaving unsafe or unattractive routes unchanged.</w:t>
            </w:r>
          </w:p>
        </w:tc>
        <w:tc>
          <w:tcPr>
            <w:tcW w:w="3544" w:type="dxa"/>
            <w:tcBorders>
              <w:top w:val="single" w:sz="4" w:space="0" w:color="000000"/>
              <w:left w:val="nil"/>
              <w:bottom w:val="single" w:sz="4" w:space="0" w:color="000000"/>
              <w:right w:val="single" w:sz="4" w:space="0" w:color="auto"/>
            </w:tcBorders>
            <w:vAlign w:val="center"/>
            <w:hideMark/>
          </w:tcPr>
          <w:p w14:paraId="2BF1609B" w14:textId="77777777" w:rsidR="00053CA3" w:rsidRPr="00053CA3" w:rsidRDefault="00053CA3" w:rsidP="00053CA3">
            <w:pPr>
              <w:spacing w:after="0" w:line="240" w:lineRule="auto"/>
              <w:rPr>
                <w:rFonts w:ascii="Arial" w:eastAsia="Times New Roman" w:hAnsi="Arial" w:cs="Arial"/>
                <w:color w:val="000000"/>
                <w:sz w:val="18"/>
                <w:szCs w:val="18"/>
                <w:lang w:val="en-GB" w:eastAsia="en-GB"/>
              </w:rPr>
            </w:pPr>
            <w:r w:rsidRPr="00053CA3">
              <w:rPr>
                <w:rFonts w:ascii="Arial" w:eastAsia="Times New Roman" w:hAnsi="Arial" w:cs="Arial"/>
                <w:color w:val="000000"/>
                <w:sz w:val="18"/>
                <w:szCs w:val="18"/>
                <w:lang w:val="en-GB" w:eastAsia="en-GB"/>
              </w:rPr>
              <w:t>Strengthen links between LL10 and LL12, with greater emphasis on safe school routes, Rights of Way and everyday walking and cycling.</w:t>
            </w:r>
          </w:p>
        </w:tc>
      </w:tr>
      <w:tr w:rsidR="00053CA3" w:rsidRPr="00053CA3" w14:paraId="273D825B" w14:textId="77777777" w:rsidTr="00CA2887">
        <w:trPr>
          <w:trHeight w:val="1673"/>
        </w:trPr>
        <w:tc>
          <w:tcPr>
            <w:tcW w:w="317" w:type="dxa"/>
            <w:tcBorders>
              <w:top w:val="nil"/>
              <w:left w:val="single" w:sz="4" w:space="0" w:color="000000"/>
              <w:bottom w:val="single" w:sz="4" w:space="0" w:color="000000"/>
              <w:right w:val="single" w:sz="4" w:space="0" w:color="auto"/>
            </w:tcBorders>
            <w:vAlign w:val="center"/>
            <w:hideMark/>
          </w:tcPr>
          <w:p w14:paraId="268467BD" w14:textId="77777777" w:rsidR="00053CA3" w:rsidRPr="00053CA3" w:rsidRDefault="00053CA3" w:rsidP="00053CA3">
            <w:pPr>
              <w:spacing w:after="0" w:line="240" w:lineRule="auto"/>
              <w:jc w:val="center"/>
              <w:rPr>
                <w:rFonts w:ascii="Arial" w:eastAsia="Times New Roman" w:hAnsi="Arial" w:cs="Arial"/>
                <w:color w:val="000000"/>
                <w:sz w:val="18"/>
                <w:szCs w:val="18"/>
                <w:lang w:val="en-GB" w:eastAsia="en-GB"/>
              </w:rPr>
            </w:pPr>
            <w:r w:rsidRPr="00053CA3">
              <w:rPr>
                <w:rFonts w:ascii="Arial" w:eastAsia="Times New Roman" w:hAnsi="Arial" w:cs="Arial"/>
                <w:color w:val="000000"/>
                <w:sz w:val="18"/>
                <w:szCs w:val="18"/>
                <w:lang w:val="en-GB" w:eastAsia="en-GB"/>
              </w:rPr>
              <w:t>4</w:t>
            </w:r>
          </w:p>
        </w:tc>
        <w:tc>
          <w:tcPr>
            <w:tcW w:w="1348" w:type="dxa"/>
            <w:tcBorders>
              <w:top w:val="single" w:sz="4" w:space="0" w:color="auto"/>
              <w:left w:val="single" w:sz="4" w:space="0" w:color="auto"/>
              <w:bottom w:val="single" w:sz="4" w:space="0" w:color="auto"/>
              <w:right w:val="single" w:sz="4" w:space="0" w:color="auto"/>
            </w:tcBorders>
            <w:vAlign w:val="center"/>
            <w:hideMark/>
          </w:tcPr>
          <w:p w14:paraId="408C78EE" w14:textId="77777777" w:rsidR="00053CA3" w:rsidRPr="00053CA3" w:rsidRDefault="00053CA3" w:rsidP="00053CA3">
            <w:pPr>
              <w:spacing w:after="0" w:line="240" w:lineRule="auto"/>
              <w:ind w:left="1"/>
              <w:rPr>
                <w:rFonts w:ascii="Arial" w:eastAsia="Times New Roman" w:hAnsi="Arial" w:cs="Arial"/>
                <w:color w:val="000000"/>
                <w:sz w:val="18"/>
                <w:szCs w:val="18"/>
                <w:lang w:val="en-GB" w:eastAsia="en-GB"/>
              </w:rPr>
            </w:pPr>
            <w:r w:rsidRPr="00053CA3">
              <w:rPr>
                <w:rFonts w:ascii="Arial" w:eastAsia="Times New Roman" w:hAnsi="Arial" w:cs="Arial"/>
                <w:color w:val="000000"/>
                <w:sz w:val="18"/>
                <w:szCs w:val="18"/>
                <w:lang w:val="en-GB" w:eastAsia="en-GB"/>
              </w:rPr>
              <w:t>Protect Green &amp; Blue Infrastructure and strengthen environmental resilience</w:t>
            </w:r>
          </w:p>
        </w:tc>
        <w:tc>
          <w:tcPr>
            <w:tcW w:w="1454" w:type="dxa"/>
            <w:tcBorders>
              <w:top w:val="single" w:sz="4" w:space="0" w:color="000000"/>
              <w:left w:val="single" w:sz="4" w:space="0" w:color="auto"/>
              <w:bottom w:val="single" w:sz="4" w:space="0" w:color="000000"/>
              <w:right w:val="single" w:sz="4" w:space="0" w:color="000000"/>
            </w:tcBorders>
            <w:vAlign w:val="center"/>
            <w:hideMark/>
          </w:tcPr>
          <w:p w14:paraId="68080FEF" w14:textId="77777777" w:rsidR="00053CA3" w:rsidRPr="00053CA3" w:rsidRDefault="00053CA3" w:rsidP="00053CA3">
            <w:pPr>
              <w:spacing w:after="0" w:line="240" w:lineRule="auto"/>
              <w:rPr>
                <w:rFonts w:ascii="Arial" w:eastAsia="Times New Roman" w:hAnsi="Arial" w:cs="Arial"/>
                <w:color w:val="000000"/>
                <w:sz w:val="18"/>
                <w:szCs w:val="18"/>
                <w:lang w:val="en-GB" w:eastAsia="en-GB"/>
              </w:rPr>
            </w:pPr>
            <w:r w:rsidRPr="00053CA3">
              <w:rPr>
                <w:rFonts w:ascii="Arial" w:eastAsia="Times New Roman" w:hAnsi="Arial" w:cs="Arial"/>
                <w:color w:val="000000"/>
                <w:sz w:val="18"/>
                <w:szCs w:val="18"/>
                <w:lang w:val="en-GB" w:eastAsia="en-GB"/>
              </w:rPr>
              <w:t>LL8 protects Green &amp; Blue Infrastructure.</w:t>
            </w:r>
          </w:p>
        </w:tc>
        <w:tc>
          <w:tcPr>
            <w:tcW w:w="2234" w:type="dxa"/>
            <w:tcBorders>
              <w:top w:val="nil"/>
              <w:left w:val="nil"/>
              <w:bottom w:val="single" w:sz="4" w:space="0" w:color="000000"/>
              <w:right w:val="single" w:sz="4" w:space="0" w:color="000000"/>
            </w:tcBorders>
            <w:vAlign w:val="center"/>
            <w:hideMark/>
          </w:tcPr>
          <w:p w14:paraId="18583CFC" w14:textId="77777777" w:rsidR="00053CA3" w:rsidRPr="00053CA3" w:rsidRDefault="00053CA3" w:rsidP="00CA2887">
            <w:pPr>
              <w:spacing w:after="0" w:line="240" w:lineRule="auto"/>
              <w:rPr>
                <w:rFonts w:ascii="Arial" w:eastAsia="Times New Roman" w:hAnsi="Arial" w:cs="Arial"/>
                <w:color w:val="000000"/>
                <w:sz w:val="18"/>
                <w:szCs w:val="18"/>
                <w:lang w:val="en-GB" w:eastAsia="en-GB"/>
              </w:rPr>
            </w:pPr>
            <w:r w:rsidRPr="00053CA3">
              <w:rPr>
                <w:rFonts w:ascii="Arial" w:eastAsia="Times New Roman" w:hAnsi="Arial" w:cs="Arial"/>
                <w:color w:val="000000"/>
                <w:sz w:val="18"/>
                <w:szCs w:val="18"/>
                <w:lang w:val="en-GB" w:eastAsia="en-GB"/>
              </w:rPr>
              <w:t xml:space="preserve">The GBI Plan explicitly refers to surface-water, groundwater and fluvial flooding, while the SEA highlights flood resilience, </w:t>
            </w:r>
            <w:proofErr w:type="spellStart"/>
            <w:r w:rsidRPr="00053CA3">
              <w:rPr>
                <w:rFonts w:ascii="Arial" w:eastAsia="Times New Roman" w:hAnsi="Arial" w:cs="Arial"/>
                <w:color w:val="000000"/>
                <w:sz w:val="18"/>
                <w:szCs w:val="18"/>
                <w:lang w:val="en-GB" w:eastAsia="en-GB"/>
              </w:rPr>
              <w:t>SuDS</w:t>
            </w:r>
            <w:proofErr w:type="spellEnd"/>
            <w:r w:rsidRPr="00053CA3">
              <w:rPr>
                <w:rFonts w:ascii="Arial" w:eastAsia="Times New Roman" w:hAnsi="Arial" w:cs="Arial"/>
                <w:color w:val="000000"/>
                <w:sz w:val="18"/>
                <w:szCs w:val="18"/>
                <w:lang w:val="en-GB" w:eastAsia="en-GB"/>
              </w:rPr>
              <w:t xml:space="preserve"> and environmental resilience.</w:t>
            </w:r>
          </w:p>
        </w:tc>
        <w:tc>
          <w:tcPr>
            <w:tcW w:w="3119" w:type="dxa"/>
            <w:tcBorders>
              <w:top w:val="nil"/>
              <w:left w:val="nil"/>
              <w:bottom w:val="single" w:sz="4" w:space="0" w:color="000000"/>
              <w:right w:val="single" w:sz="4" w:space="0" w:color="000000"/>
            </w:tcBorders>
            <w:vAlign w:val="center"/>
            <w:hideMark/>
          </w:tcPr>
          <w:p w14:paraId="0C285E60" w14:textId="77777777" w:rsidR="00053CA3" w:rsidRPr="00053CA3" w:rsidRDefault="00053CA3" w:rsidP="00053CA3">
            <w:pPr>
              <w:spacing w:after="0" w:line="240" w:lineRule="auto"/>
              <w:rPr>
                <w:rFonts w:ascii="Arial" w:eastAsia="Times New Roman" w:hAnsi="Arial" w:cs="Arial"/>
                <w:color w:val="000000"/>
                <w:sz w:val="18"/>
                <w:szCs w:val="18"/>
                <w:lang w:val="en-GB" w:eastAsia="en-GB"/>
              </w:rPr>
            </w:pPr>
            <w:r w:rsidRPr="00053CA3">
              <w:rPr>
                <w:rFonts w:ascii="Arial" w:eastAsia="Times New Roman" w:hAnsi="Arial" w:cs="Arial"/>
                <w:color w:val="000000"/>
                <w:sz w:val="18"/>
                <w:szCs w:val="18"/>
                <w:lang w:val="en-GB" w:eastAsia="en-GB"/>
              </w:rPr>
              <w:t>The evidence recognises groundwater, localised flooding and environmental resilience more explicitly than the policy wording.</w:t>
            </w:r>
          </w:p>
        </w:tc>
        <w:tc>
          <w:tcPr>
            <w:tcW w:w="2160" w:type="dxa"/>
            <w:tcBorders>
              <w:top w:val="nil"/>
              <w:left w:val="nil"/>
              <w:bottom w:val="single" w:sz="4" w:space="0" w:color="000000"/>
              <w:right w:val="single" w:sz="4" w:space="0" w:color="000000"/>
            </w:tcBorders>
            <w:vAlign w:val="center"/>
            <w:hideMark/>
          </w:tcPr>
          <w:p w14:paraId="74CB94AD" w14:textId="77777777" w:rsidR="00053CA3" w:rsidRPr="00053CA3" w:rsidRDefault="00053CA3" w:rsidP="00053CA3">
            <w:pPr>
              <w:spacing w:after="0" w:line="240" w:lineRule="auto"/>
              <w:rPr>
                <w:rFonts w:ascii="Arial" w:eastAsia="Times New Roman" w:hAnsi="Arial" w:cs="Arial"/>
                <w:color w:val="000000"/>
                <w:sz w:val="18"/>
                <w:szCs w:val="18"/>
                <w:lang w:val="en-GB" w:eastAsia="en-GB"/>
              </w:rPr>
            </w:pPr>
            <w:r w:rsidRPr="00053CA3">
              <w:rPr>
                <w:rFonts w:ascii="Arial" w:eastAsia="Times New Roman" w:hAnsi="Arial" w:cs="Arial"/>
                <w:color w:val="000000"/>
                <w:sz w:val="18"/>
                <w:szCs w:val="18"/>
                <w:lang w:val="en-GB" w:eastAsia="en-GB"/>
              </w:rPr>
              <w:t>Development could focus solely on technical drainage compliance without fully considering wider environmental resilience.</w:t>
            </w:r>
          </w:p>
        </w:tc>
        <w:tc>
          <w:tcPr>
            <w:tcW w:w="3544" w:type="dxa"/>
            <w:tcBorders>
              <w:top w:val="single" w:sz="4" w:space="0" w:color="000000"/>
              <w:left w:val="nil"/>
              <w:bottom w:val="single" w:sz="4" w:space="0" w:color="000000"/>
              <w:right w:val="single" w:sz="4" w:space="0" w:color="auto"/>
            </w:tcBorders>
            <w:vAlign w:val="center"/>
            <w:hideMark/>
          </w:tcPr>
          <w:p w14:paraId="411394BA" w14:textId="77777777" w:rsidR="00053CA3" w:rsidRPr="00053CA3" w:rsidRDefault="00053CA3" w:rsidP="00053CA3">
            <w:pPr>
              <w:spacing w:after="0" w:line="240" w:lineRule="auto"/>
              <w:rPr>
                <w:rFonts w:ascii="Arial" w:eastAsia="Times New Roman" w:hAnsi="Arial" w:cs="Arial"/>
                <w:color w:val="000000"/>
                <w:sz w:val="18"/>
                <w:szCs w:val="18"/>
                <w:lang w:val="en-GB" w:eastAsia="en-GB"/>
              </w:rPr>
            </w:pPr>
            <w:r w:rsidRPr="00053CA3">
              <w:rPr>
                <w:rFonts w:ascii="Arial" w:eastAsia="Times New Roman" w:hAnsi="Arial" w:cs="Arial"/>
                <w:color w:val="000000"/>
                <w:sz w:val="18"/>
                <w:szCs w:val="18"/>
                <w:lang w:val="en-GB" w:eastAsia="en-GB"/>
              </w:rPr>
              <w:t>Strengthen supporting text to recognise biodiversity, access to nature, groundwater management, natural drainage, localised flooding and climate resilience as integral functions of Green &amp; Blue Infrastructure.</w:t>
            </w:r>
          </w:p>
        </w:tc>
      </w:tr>
      <w:tr w:rsidR="00053CA3" w:rsidRPr="00053CA3" w14:paraId="669D60A0" w14:textId="77777777" w:rsidTr="00CA2887">
        <w:trPr>
          <w:trHeight w:val="1638"/>
        </w:trPr>
        <w:tc>
          <w:tcPr>
            <w:tcW w:w="317" w:type="dxa"/>
            <w:tcBorders>
              <w:top w:val="nil"/>
              <w:left w:val="single" w:sz="4" w:space="0" w:color="000000"/>
              <w:bottom w:val="single" w:sz="4" w:space="0" w:color="000000"/>
              <w:right w:val="single" w:sz="4" w:space="0" w:color="auto"/>
            </w:tcBorders>
            <w:vAlign w:val="center"/>
            <w:hideMark/>
          </w:tcPr>
          <w:p w14:paraId="7DBEAE47" w14:textId="77777777" w:rsidR="00053CA3" w:rsidRPr="00053CA3" w:rsidRDefault="00053CA3" w:rsidP="00053CA3">
            <w:pPr>
              <w:spacing w:after="0" w:line="240" w:lineRule="auto"/>
              <w:jc w:val="center"/>
              <w:rPr>
                <w:rFonts w:ascii="Arial" w:eastAsia="Times New Roman" w:hAnsi="Arial" w:cs="Arial"/>
                <w:color w:val="000000"/>
                <w:sz w:val="18"/>
                <w:szCs w:val="18"/>
                <w:lang w:val="en-GB" w:eastAsia="en-GB"/>
              </w:rPr>
            </w:pPr>
            <w:r w:rsidRPr="00053CA3">
              <w:rPr>
                <w:rFonts w:ascii="Arial" w:eastAsia="Times New Roman" w:hAnsi="Arial" w:cs="Arial"/>
                <w:color w:val="000000"/>
                <w:sz w:val="18"/>
                <w:szCs w:val="18"/>
                <w:lang w:val="en-GB" w:eastAsia="en-GB"/>
              </w:rPr>
              <w:t>5</w:t>
            </w:r>
          </w:p>
        </w:tc>
        <w:tc>
          <w:tcPr>
            <w:tcW w:w="1348" w:type="dxa"/>
            <w:tcBorders>
              <w:top w:val="single" w:sz="4" w:space="0" w:color="auto"/>
              <w:left w:val="single" w:sz="4" w:space="0" w:color="auto"/>
              <w:bottom w:val="single" w:sz="4" w:space="0" w:color="auto"/>
              <w:right w:val="single" w:sz="4" w:space="0" w:color="auto"/>
            </w:tcBorders>
            <w:vAlign w:val="center"/>
            <w:hideMark/>
          </w:tcPr>
          <w:p w14:paraId="1730D61A" w14:textId="77777777" w:rsidR="00053CA3" w:rsidRPr="00053CA3" w:rsidRDefault="00053CA3" w:rsidP="00053CA3">
            <w:pPr>
              <w:spacing w:after="0" w:line="240" w:lineRule="auto"/>
              <w:ind w:left="1"/>
              <w:rPr>
                <w:rFonts w:ascii="Arial" w:eastAsia="Times New Roman" w:hAnsi="Arial" w:cs="Arial"/>
                <w:color w:val="000000"/>
                <w:sz w:val="18"/>
                <w:szCs w:val="18"/>
                <w:lang w:val="en-GB" w:eastAsia="en-GB"/>
              </w:rPr>
            </w:pPr>
            <w:r w:rsidRPr="00053CA3">
              <w:rPr>
                <w:rFonts w:ascii="Arial" w:eastAsia="Times New Roman" w:hAnsi="Arial" w:cs="Arial"/>
                <w:color w:val="000000"/>
                <w:sz w:val="18"/>
                <w:szCs w:val="18"/>
                <w:lang w:val="en-GB" w:eastAsia="en-GB"/>
              </w:rPr>
              <w:t>Provide greater certainty for future planning decisions</w:t>
            </w:r>
          </w:p>
        </w:tc>
        <w:tc>
          <w:tcPr>
            <w:tcW w:w="1454" w:type="dxa"/>
            <w:tcBorders>
              <w:top w:val="single" w:sz="4" w:space="0" w:color="000000"/>
              <w:left w:val="single" w:sz="4" w:space="0" w:color="auto"/>
              <w:bottom w:val="single" w:sz="4" w:space="0" w:color="000000"/>
              <w:right w:val="single" w:sz="4" w:space="0" w:color="000000"/>
            </w:tcBorders>
            <w:vAlign w:val="center"/>
            <w:hideMark/>
          </w:tcPr>
          <w:p w14:paraId="4792641C" w14:textId="77777777" w:rsidR="00053CA3" w:rsidRPr="00053CA3" w:rsidRDefault="00053CA3" w:rsidP="00053CA3">
            <w:pPr>
              <w:spacing w:after="0" w:line="240" w:lineRule="auto"/>
              <w:rPr>
                <w:rFonts w:ascii="Arial" w:eastAsia="Times New Roman" w:hAnsi="Arial" w:cs="Arial"/>
                <w:color w:val="000000"/>
                <w:sz w:val="18"/>
                <w:szCs w:val="18"/>
                <w:lang w:val="en-GB" w:eastAsia="en-GB"/>
              </w:rPr>
            </w:pPr>
            <w:r w:rsidRPr="00053CA3">
              <w:rPr>
                <w:rFonts w:ascii="Arial" w:eastAsia="Times New Roman" w:hAnsi="Arial" w:cs="Arial"/>
                <w:color w:val="000000"/>
                <w:sz w:val="18"/>
                <w:szCs w:val="18"/>
                <w:lang w:val="en-GB" w:eastAsia="en-GB"/>
              </w:rPr>
              <w:t>The Plan is comprehensive and well supported by evidence.</w:t>
            </w:r>
          </w:p>
        </w:tc>
        <w:tc>
          <w:tcPr>
            <w:tcW w:w="2234" w:type="dxa"/>
            <w:tcBorders>
              <w:top w:val="nil"/>
              <w:left w:val="nil"/>
              <w:bottom w:val="single" w:sz="4" w:space="0" w:color="000000"/>
              <w:right w:val="single" w:sz="4" w:space="0" w:color="000000"/>
            </w:tcBorders>
            <w:vAlign w:val="center"/>
            <w:hideMark/>
          </w:tcPr>
          <w:p w14:paraId="561756A5" w14:textId="77777777" w:rsidR="00053CA3" w:rsidRPr="00053CA3" w:rsidRDefault="00053CA3" w:rsidP="00CA2887">
            <w:pPr>
              <w:spacing w:after="0" w:line="240" w:lineRule="auto"/>
              <w:rPr>
                <w:rFonts w:ascii="Arial" w:eastAsia="Times New Roman" w:hAnsi="Arial" w:cs="Arial"/>
                <w:color w:val="000000"/>
                <w:sz w:val="18"/>
                <w:szCs w:val="18"/>
                <w:lang w:val="en-GB" w:eastAsia="en-GB"/>
              </w:rPr>
            </w:pPr>
            <w:r w:rsidRPr="00053CA3">
              <w:rPr>
                <w:rFonts w:ascii="Arial" w:eastAsia="Times New Roman" w:hAnsi="Arial" w:cs="Arial"/>
                <w:color w:val="000000"/>
                <w:sz w:val="18"/>
                <w:szCs w:val="18"/>
                <w:lang w:val="en-GB" w:eastAsia="en-GB"/>
              </w:rPr>
              <w:t>Consultation includes a range of drafting, mapping and policy clarity suggestions.</w:t>
            </w:r>
          </w:p>
        </w:tc>
        <w:tc>
          <w:tcPr>
            <w:tcW w:w="3119" w:type="dxa"/>
            <w:tcBorders>
              <w:top w:val="nil"/>
              <w:left w:val="nil"/>
              <w:bottom w:val="single" w:sz="4" w:space="0" w:color="000000"/>
              <w:right w:val="single" w:sz="4" w:space="0" w:color="000000"/>
            </w:tcBorders>
            <w:vAlign w:val="center"/>
            <w:hideMark/>
          </w:tcPr>
          <w:p w14:paraId="5863D4ED" w14:textId="77777777" w:rsidR="00053CA3" w:rsidRPr="00053CA3" w:rsidRDefault="00053CA3" w:rsidP="00053CA3">
            <w:pPr>
              <w:spacing w:after="0" w:line="240" w:lineRule="auto"/>
              <w:rPr>
                <w:rFonts w:ascii="Arial" w:eastAsia="Times New Roman" w:hAnsi="Arial" w:cs="Arial"/>
                <w:color w:val="000000"/>
                <w:sz w:val="18"/>
                <w:szCs w:val="18"/>
                <w:lang w:val="en-GB" w:eastAsia="en-GB"/>
              </w:rPr>
            </w:pPr>
            <w:r w:rsidRPr="00053CA3">
              <w:rPr>
                <w:rFonts w:ascii="Arial" w:eastAsia="Times New Roman" w:hAnsi="Arial" w:cs="Arial"/>
                <w:color w:val="000000"/>
                <w:sz w:val="18"/>
                <w:szCs w:val="18"/>
                <w:lang w:val="en-GB" w:eastAsia="en-GB"/>
              </w:rPr>
              <w:t>There are opportunities to improve consistency between objectives, supporting text and policy wording.</w:t>
            </w:r>
          </w:p>
        </w:tc>
        <w:tc>
          <w:tcPr>
            <w:tcW w:w="2160" w:type="dxa"/>
            <w:tcBorders>
              <w:top w:val="nil"/>
              <w:left w:val="nil"/>
              <w:bottom w:val="single" w:sz="4" w:space="0" w:color="000000"/>
              <w:right w:val="single" w:sz="4" w:space="0" w:color="000000"/>
            </w:tcBorders>
            <w:vAlign w:val="center"/>
            <w:hideMark/>
          </w:tcPr>
          <w:p w14:paraId="71DA4A4F" w14:textId="77777777" w:rsidR="00053CA3" w:rsidRPr="00053CA3" w:rsidRDefault="00053CA3" w:rsidP="00053CA3">
            <w:pPr>
              <w:spacing w:after="0" w:line="240" w:lineRule="auto"/>
              <w:rPr>
                <w:rFonts w:ascii="Arial" w:eastAsia="Times New Roman" w:hAnsi="Arial" w:cs="Arial"/>
                <w:color w:val="000000"/>
                <w:sz w:val="18"/>
                <w:szCs w:val="18"/>
                <w:lang w:val="en-GB" w:eastAsia="en-GB"/>
              </w:rPr>
            </w:pPr>
            <w:r w:rsidRPr="00053CA3">
              <w:rPr>
                <w:rFonts w:ascii="Arial" w:eastAsia="Times New Roman" w:hAnsi="Arial" w:cs="Arial"/>
                <w:color w:val="000000"/>
                <w:sz w:val="18"/>
                <w:szCs w:val="18"/>
                <w:lang w:val="en-GB" w:eastAsia="en-GB"/>
              </w:rPr>
              <w:t>Ambiguity can lead to differing interpretations during planning applications or appeals.</w:t>
            </w:r>
          </w:p>
        </w:tc>
        <w:tc>
          <w:tcPr>
            <w:tcW w:w="3544" w:type="dxa"/>
            <w:tcBorders>
              <w:top w:val="single" w:sz="4" w:space="0" w:color="000000"/>
              <w:left w:val="nil"/>
              <w:bottom w:val="single" w:sz="4" w:space="0" w:color="000000"/>
              <w:right w:val="single" w:sz="4" w:space="0" w:color="auto"/>
            </w:tcBorders>
            <w:vAlign w:val="center"/>
            <w:hideMark/>
          </w:tcPr>
          <w:p w14:paraId="26FD1762" w14:textId="77777777" w:rsidR="00053CA3" w:rsidRDefault="00053CA3" w:rsidP="00053CA3">
            <w:pPr>
              <w:spacing w:after="0" w:line="240" w:lineRule="auto"/>
              <w:rPr>
                <w:rFonts w:ascii="Arial" w:eastAsia="Times New Roman" w:hAnsi="Arial" w:cs="Arial"/>
                <w:color w:val="000000"/>
                <w:sz w:val="18"/>
                <w:szCs w:val="18"/>
                <w:lang w:val="en-GB" w:eastAsia="en-GB"/>
              </w:rPr>
            </w:pPr>
            <w:r w:rsidRPr="00053CA3">
              <w:rPr>
                <w:rFonts w:ascii="Arial" w:eastAsia="Times New Roman" w:hAnsi="Arial" w:cs="Arial"/>
                <w:color w:val="000000"/>
                <w:sz w:val="18"/>
                <w:szCs w:val="18"/>
                <w:lang w:val="en-GB" w:eastAsia="en-GB"/>
              </w:rPr>
              <w:t>Make targeted drafting improvements and strengthen cross-references between complementary policies.</w:t>
            </w:r>
          </w:p>
          <w:p w14:paraId="273296BD" w14:textId="77777777" w:rsidR="00CA2887" w:rsidRPr="00CA2887" w:rsidRDefault="00CA2887" w:rsidP="00CA2887">
            <w:pPr>
              <w:rPr>
                <w:rFonts w:ascii="Arial" w:eastAsia="Times New Roman" w:hAnsi="Arial" w:cs="Arial"/>
                <w:sz w:val="18"/>
                <w:szCs w:val="18"/>
                <w:lang w:val="en-GB" w:eastAsia="en-GB"/>
              </w:rPr>
            </w:pPr>
          </w:p>
          <w:p w14:paraId="1AB4947B" w14:textId="77777777" w:rsidR="00CA2887" w:rsidRDefault="00CA2887" w:rsidP="00CA2887">
            <w:pPr>
              <w:rPr>
                <w:rFonts w:ascii="Arial" w:eastAsia="Times New Roman" w:hAnsi="Arial" w:cs="Arial"/>
                <w:color w:val="000000"/>
                <w:sz w:val="18"/>
                <w:szCs w:val="18"/>
                <w:lang w:val="en-GB" w:eastAsia="en-GB"/>
              </w:rPr>
            </w:pPr>
          </w:p>
          <w:p w14:paraId="4DEFB139" w14:textId="77777777" w:rsidR="00CA2887" w:rsidRPr="00CA2887" w:rsidRDefault="00CA2887" w:rsidP="00CA2887">
            <w:pPr>
              <w:rPr>
                <w:rFonts w:ascii="Arial" w:eastAsia="Times New Roman" w:hAnsi="Arial" w:cs="Arial"/>
                <w:sz w:val="18"/>
                <w:szCs w:val="18"/>
                <w:lang w:val="en-GB" w:eastAsia="en-GB"/>
              </w:rPr>
            </w:pPr>
          </w:p>
          <w:p w14:paraId="5E61BD05" w14:textId="77777777" w:rsidR="00CA2887" w:rsidRPr="00CA2887" w:rsidRDefault="00CA2887" w:rsidP="00CA2887">
            <w:pPr>
              <w:rPr>
                <w:rFonts w:ascii="Arial" w:eastAsia="Times New Roman" w:hAnsi="Arial" w:cs="Arial"/>
                <w:sz w:val="18"/>
                <w:szCs w:val="18"/>
                <w:lang w:val="en-GB" w:eastAsia="en-GB"/>
              </w:rPr>
            </w:pPr>
          </w:p>
        </w:tc>
      </w:tr>
    </w:tbl>
    <w:p w14:paraId="3741EA6D" w14:textId="7E8018D8" w:rsidR="00476658" w:rsidRDefault="00000000">
      <w:r>
        <w:rPr>
          <w:b/>
          <w:color w:val="2F6B3A"/>
          <w:sz w:val="36"/>
        </w:rPr>
        <w:lastRenderedPageBreak/>
        <w:t>Turning the Recommendations into Your Response</w:t>
      </w:r>
    </w:p>
    <w:p w14:paraId="76CB3362" w14:textId="77777777" w:rsidR="00476658" w:rsidRDefault="00000000">
      <w:r>
        <w:rPr>
          <w:b/>
          <w:color w:val="2F6B3A"/>
          <w:sz w:val="28"/>
        </w:rPr>
        <w:t>1. Development must be supported by infrastructure</w:t>
      </w:r>
    </w:p>
    <w:p w14:paraId="6C7F23FF" w14:textId="77777777" w:rsidR="00476658" w:rsidRDefault="00000000">
      <w:r>
        <w:t>Why this matters: Sustainable growth depends on infrastructure keeping pace with development.</w:t>
      </w:r>
    </w:p>
    <w:p w14:paraId="6494CEF7" w14:textId="77777777" w:rsidR="00476658" w:rsidRDefault="00000000">
      <w:r>
        <w:t>Think about: Have you experienced pressure on GP services, schools, roads, parking or trains?</w:t>
      </w:r>
    </w:p>
    <w:p w14:paraId="3BD4D823" w14:textId="77777777" w:rsidR="00476658" w:rsidRDefault="00000000">
      <w:r>
        <w:t>You may wish to support stronger wording that development should be supported by appropriate infrastructure.</w:t>
      </w:r>
    </w:p>
    <w:p w14:paraId="6F747A99" w14:textId="77777777" w:rsidR="00476658" w:rsidRDefault="00000000">
      <w:r>
        <w:rPr>
          <w:color w:val="2F6B3A"/>
        </w:rPr>
        <w:t>________________________________________________________________________________</w:t>
      </w:r>
    </w:p>
    <w:p w14:paraId="62902F26" w14:textId="77777777" w:rsidR="00476658" w:rsidRDefault="00000000">
      <w:r>
        <w:rPr>
          <w:b/>
          <w:color w:val="2F6B3A"/>
          <w:sz w:val="28"/>
        </w:rPr>
        <w:t>2. Plan for the community the town actually serves</w:t>
      </w:r>
    </w:p>
    <w:p w14:paraId="506DB07A" w14:textId="77777777" w:rsidR="00476658" w:rsidRDefault="00000000">
      <w:r>
        <w:t>Why this matters: Leighton-Linslade provides services used by many people beyond the neighbourhood boundary.</w:t>
      </w:r>
    </w:p>
    <w:p w14:paraId="1B1812D6" w14:textId="77777777" w:rsidR="00476658" w:rsidRDefault="00000000">
      <w:r>
        <w:t>Think about: Do you know people from neighbouring villages, including across the Bedfordshire–Buckinghamshire border, who use the town's schools, station, healthcare or shops?</w:t>
      </w:r>
    </w:p>
    <w:p w14:paraId="05975F68" w14:textId="77777777" w:rsidR="00476658" w:rsidRDefault="00000000">
      <w:r>
        <w:t>You may wish to support recognition of the town's wider service role and infrastructure capacity.</w:t>
      </w:r>
    </w:p>
    <w:p w14:paraId="1B33CD15" w14:textId="77777777" w:rsidR="00476658" w:rsidRDefault="00000000">
      <w:r>
        <w:rPr>
          <w:color w:val="2F6B3A"/>
        </w:rPr>
        <w:t>________________________________________________________________________________</w:t>
      </w:r>
    </w:p>
    <w:p w14:paraId="2D4F703A" w14:textId="77777777" w:rsidR="00476658" w:rsidRDefault="00000000">
      <w:r>
        <w:rPr>
          <w:b/>
          <w:color w:val="2F6B3A"/>
          <w:sz w:val="28"/>
        </w:rPr>
        <w:t>3. Support safe, connected everyday journeys</w:t>
      </w:r>
    </w:p>
    <w:p w14:paraId="5B91337D" w14:textId="77777777" w:rsidR="00476658" w:rsidRDefault="00000000">
      <w:r>
        <w:t>Walking, cycling and Public Rights of Way connect homes with schools, the station and services.</w:t>
      </w:r>
    </w:p>
    <w:p w14:paraId="6C713B1E" w14:textId="77777777" w:rsidR="00476658" w:rsidRDefault="00000000">
      <w:r>
        <w:t>Think about: Do you walk, cycle or use Public Rights of Way?</w:t>
      </w:r>
    </w:p>
    <w:p w14:paraId="4EF5DFA4" w14:textId="77777777" w:rsidR="00476658" w:rsidRDefault="00000000">
      <w:r>
        <w:t>Support stronger recognition of safe connected everyday journeys.</w:t>
      </w:r>
    </w:p>
    <w:p w14:paraId="4991663A" w14:textId="77777777" w:rsidR="00476658" w:rsidRDefault="00000000">
      <w:r>
        <w:rPr>
          <w:color w:val="2F6B3A"/>
        </w:rPr>
        <w:lastRenderedPageBreak/>
        <w:t>________________________________________________________________________________</w:t>
      </w:r>
    </w:p>
    <w:p w14:paraId="6A0B9C21" w14:textId="77777777" w:rsidR="00476658" w:rsidRDefault="00000000">
      <w:r>
        <w:rPr>
          <w:b/>
          <w:color w:val="2F6B3A"/>
          <w:sz w:val="28"/>
        </w:rPr>
        <w:t>4. Protect Green &amp; Blue Infrastructure</w:t>
      </w:r>
    </w:p>
    <w:p w14:paraId="5A718EC1" w14:textId="77777777" w:rsidR="00476658" w:rsidRDefault="00000000">
      <w:r>
        <w:t>Green &amp; Blue Infrastructure supports biodiversity, wellbeing, groundwater and resilience to flooding.</w:t>
      </w:r>
    </w:p>
    <w:p w14:paraId="517E6A1D" w14:textId="77777777" w:rsidR="00476658" w:rsidRDefault="00000000">
      <w:r>
        <w:t>Think about: Do you value local green spaces or have experience of surface water flooding?</w:t>
      </w:r>
    </w:p>
    <w:p w14:paraId="79B9B8DE" w14:textId="77777777" w:rsidR="00476658" w:rsidRDefault="00000000">
      <w:r>
        <w:t>Support stronger recognition of environmental resilience.</w:t>
      </w:r>
    </w:p>
    <w:p w14:paraId="64F610C9" w14:textId="77777777" w:rsidR="00476658" w:rsidRDefault="00000000">
      <w:r>
        <w:rPr>
          <w:color w:val="2F6B3A"/>
        </w:rPr>
        <w:t>________________________________________________________________________________</w:t>
      </w:r>
    </w:p>
    <w:p w14:paraId="4EEEDDD6" w14:textId="77777777" w:rsidR="00476658" w:rsidRDefault="00000000">
      <w:r>
        <w:rPr>
          <w:b/>
          <w:color w:val="2F6B3A"/>
          <w:sz w:val="28"/>
        </w:rPr>
        <w:t>5. Provide greater certainty</w:t>
      </w:r>
    </w:p>
    <w:p w14:paraId="3CC14D62" w14:textId="77777777" w:rsidR="00476658" w:rsidRDefault="00000000">
      <w:r>
        <w:t>Clear policies support better planning decisions.</w:t>
      </w:r>
    </w:p>
    <w:p w14:paraId="5EC27EFE" w14:textId="77777777" w:rsidR="00476658" w:rsidRDefault="00000000">
      <w:r>
        <w:t>Think about: Should policies better reflect the supporting evidence?</w:t>
      </w:r>
    </w:p>
    <w:p w14:paraId="668EC0AB" w14:textId="77777777" w:rsidR="00476658" w:rsidRDefault="00000000">
      <w:r>
        <w:t>Support small improvements to policy wording and consistency.</w:t>
      </w:r>
    </w:p>
    <w:p w14:paraId="0D825DA1" w14:textId="77777777" w:rsidR="00476658" w:rsidRDefault="00000000">
      <w:r>
        <w:rPr>
          <w:color w:val="2F6B3A"/>
        </w:rPr>
        <w:t>________________________________________________________________________________</w:t>
      </w:r>
    </w:p>
    <w:p w14:paraId="5D4EA67A" w14:textId="77777777" w:rsidR="00476658" w:rsidRDefault="00000000">
      <w:r>
        <w:br w:type="page"/>
      </w:r>
    </w:p>
    <w:p w14:paraId="2D5590FB" w14:textId="77777777" w:rsidR="00476658" w:rsidRDefault="00000000">
      <w:r>
        <w:rPr>
          <w:b/>
          <w:color w:val="2F6B3A"/>
          <w:sz w:val="36"/>
        </w:rPr>
        <w:lastRenderedPageBreak/>
        <w:t>Writing an Effective Response</w:t>
      </w:r>
    </w:p>
    <w:p w14:paraId="46A7ADEC" w14:textId="77777777" w:rsidR="00476658" w:rsidRDefault="00000000">
      <w:r>
        <w:t>A good consultation response usually recognises the positive aspects of the Plan, identifies areas that could be strengthened, explains why, provides examples where appropriate and suggests how the Plan could better deliver its Vision.</w:t>
      </w:r>
    </w:p>
    <w:p w14:paraId="29C80E2D" w14:textId="77777777" w:rsidR="00476658" w:rsidRDefault="00000000">
      <w:r>
        <w:t>Suggested opening:</w:t>
      </w:r>
      <w:r>
        <w:br/>
      </w:r>
      <w:r>
        <w:br/>
        <w:t>Dear Sir or Madam,</w:t>
      </w:r>
      <w:r>
        <w:br/>
      </w:r>
      <w:r>
        <w:br/>
        <w:t>I am writing regarding the Regulation 16 consultation on the Leighton-Linslade Neighbourhood Plan. I appreciate the considerable work that has gone into preparing the Plan and believe there is a great deal that is positive about it. However, I believe there are a few areas where the Plan could be strengthened so that it better delivers its Vision over the period to 2042.</w:t>
      </w:r>
    </w:p>
    <w:p w14:paraId="7AD4AD36" w14:textId="77777777" w:rsidR="00476658" w:rsidRDefault="00000000">
      <w:r>
        <w:rPr>
          <w:b/>
          <w:color w:val="2F6B3A"/>
          <w:sz w:val="28"/>
        </w:rPr>
        <w:t>Send your response</w:t>
      </w:r>
    </w:p>
    <w:p w14:paraId="4C05DACA" w14:textId="77777777" w:rsidR="00476658" w:rsidRDefault="00000000">
      <w:r>
        <w:t>Email: localplan@centralbedfordshire.gov.uk</w:t>
      </w:r>
      <w:r>
        <w:br/>
        <w:t>Subject: Leighton-Linslade Neighbourhood Plan – Regulation 16</w:t>
      </w:r>
      <w:r>
        <w:br/>
        <w:t>Deadline: 11:59pm Wednesday 6 August</w:t>
      </w:r>
    </w:p>
    <w:p w14:paraId="17A7600F" w14:textId="77777777" w:rsidR="00476658" w:rsidRDefault="00000000">
      <w:r>
        <w:rPr>
          <w:b/>
          <w:color w:val="2F6B3A"/>
          <w:sz w:val="28"/>
        </w:rPr>
        <w:t>Every response matters</w:t>
      </w:r>
    </w:p>
    <w:p w14:paraId="0B1CEFC7" w14:textId="77777777" w:rsidR="00476658" w:rsidRDefault="00000000">
      <w:r>
        <w:t>By taking a few minutes to respond, you can help strengthen the planning framework that will shape Leighton-Linslade until 2042.</w:t>
      </w:r>
    </w:p>
    <w:sectPr w:rsidR="00476658" w:rsidSect="00CA2887">
      <w:pgSz w:w="15840" w:h="12240" w:orient="landscape"/>
      <w:pgMar w:top="1797" w:right="1440" w:bottom="179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D54DE" w14:textId="77777777" w:rsidR="002A230C" w:rsidRDefault="002A230C" w:rsidP="00CA2887">
      <w:pPr>
        <w:spacing w:after="0" w:line="240" w:lineRule="auto"/>
      </w:pPr>
      <w:r>
        <w:separator/>
      </w:r>
    </w:p>
  </w:endnote>
  <w:endnote w:type="continuationSeparator" w:id="0">
    <w:p w14:paraId="473FE376" w14:textId="77777777" w:rsidR="002A230C" w:rsidRDefault="002A230C" w:rsidP="00CA28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AAA82" w14:textId="77777777" w:rsidR="002A230C" w:rsidRDefault="002A230C" w:rsidP="00CA2887">
      <w:pPr>
        <w:spacing w:after="0" w:line="240" w:lineRule="auto"/>
      </w:pPr>
      <w:r>
        <w:separator/>
      </w:r>
    </w:p>
  </w:footnote>
  <w:footnote w:type="continuationSeparator" w:id="0">
    <w:p w14:paraId="2A4ACE93" w14:textId="77777777" w:rsidR="002A230C" w:rsidRDefault="002A230C" w:rsidP="00CA28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76984971">
    <w:abstractNumId w:val="8"/>
  </w:num>
  <w:num w:numId="2" w16cid:durableId="1003702036">
    <w:abstractNumId w:val="6"/>
  </w:num>
  <w:num w:numId="3" w16cid:durableId="1294364977">
    <w:abstractNumId w:val="5"/>
  </w:num>
  <w:num w:numId="4" w16cid:durableId="657152887">
    <w:abstractNumId w:val="4"/>
  </w:num>
  <w:num w:numId="5" w16cid:durableId="1305088129">
    <w:abstractNumId w:val="7"/>
  </w:num>
  <w:num w:numId="6" w16cid:durableId="1191724057">
    <w:abstractNumId w:val="3"/>
  </w:num>
  <w:num w:numId="7" w16cid:durableId="766077927">
    <w:abstractNumId w:val="2"/>
  </w:num>
  <w:num w:numId="8" w16cid:durableId="1234586976">
    <w:abstractNumId w:val="1"/>
  </w:num>
  <w:num w:numId="9" w16cid:durableId="1224558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3CA3"/>
    <w:rsid w:val="0006063C"/>
    <w:rsid w:val="0015074B"/>
    <w:rsid w:val="0029639D"/>
    <w:rsid w:val="002A230C"/>
    <w:rsid w:val="00326F90"/>
    <w:rsid w:val="00476658"/>
    <w:rsid w:val="007C0275"/>
    <w:rsid w:val="00AA1D8D"/>
    <w:rsid w:val="00B47730"/>
    <w:rsid w:val="00CA2887"/>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C381FD"/>
  <w14:defaultImageDpi w14:val="300"/>
  <w15:docId w15:val="{BEB096A0-0A77-42AE-9721-8F49FFFFB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eastAsia="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1191</Words>
  <Characters>6793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7969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Emily Shenton</cp:lastModifiedBy>
  <cp:revision>2</cp:revision>
  <dcterms:created xsi:type="dcterms:W3CDTF">2013-12-23T23:15:00Z</dcterms:created>
  <dcterms:modified xsi:type="dcterms:W3CDTF">2026-08-01T11:59:00Z</dcterms:modified>
  <cp:category/>
</cp:coreProperties>
</file>